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CE544A" w:rsidRPr="00975B07" w14:paraId="1AA78150" w14:textId="77777777" w:rsidTr="005F7F7E">
        <w:tc>
          <w:tcPr>
            <w:tcW w:w="2438" w:type="dxa"/>
            <w:shd w:val="clear" w:color="auto" w:fill="auto"/>
          </w:tcPr>
          <w:p w14:paraId="0ED071C6"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DA9802F" w14:textId="77777777" w:rsidR="00F445B1" w:rsidRPr="00F95BC9" w:rsidRDefault="00DB7AD7" w:rsidP="004A6D2F">
            <w:pPr>
              <w:rPr>
                <w:rStyle w:val="Firstpagetablebold"/>
              </w:rPr>
            </w:pPr>
            <w:r>
              <w:rPr>
                <w:rStyle w:val="Firstpagetablebold"/>
              </w:rPr>
              <w:t>Cabinet</w:t>
            </w:r>
          </w:p>
        </w:tc>
      </w:tr>
      <w:tr w:rsidR="00CE544A" w:rsidRPr="00975B07" w14:paraId="05AE94CE" w14:textId="77777777" w:rsidTr="005F7F7E">
        <w:tc>
          <w:tcPr>
            <w:tcW w:w="2438" w:type="dxa"/>
            <w:shd w:val="clear" w:color="auto" w:fill="auto"/>
          </w:tcPr>
          <w:p w14:paraId="2718A5D1"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79E0EE6" w14:textId="46F8144F" w:rsidR="00F445B1" w:rsidRPr="001356F1" w:rsidRDefault="00BC7F97" w:rsidP="00380767">
            <w:pPr>
              <w:rPr>
                <w:b/>
              </w:rPr>
            </w:pPr>
            <w:r>
              <w:rPr>
                <w:rStyle w:val="Firstpagetablebold"/>
              </w:rPr>
              <w:t>16 June</w:t>
            </w:r>
            <w:r w:rsidR="0089648C">
              <w:rPr>
                <w:rStyle w:val="Firstpagetablebold"/>
              </w:rPr>
              <w:t xml:space="preserve"> 2021</w:t>
            </w:r>
          </w:p>
        </w:tc>
      </w:tr>
      <w:tr w:rsidR="00CE544A" w:rsidRPr="00975B07" w14:paraId="64876D57" w14:textId="77777777" w:rsidTr="005F7F7E">
        <w:tc>
          <w:tcPr>
            <w:tcW w:w="2438" w:type="dxa"/>
            <w:shd w:val="clear" w:color="auto" w:fill="auto"/>
          </w:tcPr>
          <w:p w14:paraId="158F5112" w14:textId="59C7B8B5"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625D5CA" w14:textId="25B686CA" w:rsidR="00F445B1" w:rsidRPr="001356F1" w:rsidRDefault="0089648C" w:rsidP="0089648C">
            <w:pPr>
              <w:rPr>
                <w:rStyle w:val="Firstpagetablebold"/>
              </w:rPr>
            </w:pPr>
            <w:r>
              <w:rPr>
                <w:rStyle w:val="Firstpagetablebold"/>
              </w:rPr>
              <w:t xml:space="preserve">Head of Housing </w:t>
            </w:r>
            <w:r w:rsidR="00380767">
              <w:rPr>
                <w:rStyle w:val="Firstpagetablebold"/>
              </w:rPr>
              <w:t>Services</w:t>
            </w:r>
          </w:p>
        </w:tc>
      </w:tr>
      <w:tr w:rsidR="00CE544A" w:rsidRPr="00975B07" w14:paraId="44DB519E" w14:textId="77777777" w:rsidTr="005F7F7E">
        <w:tc>
          <w:tcPr>
            <w:tcW w:w="2438" w:type="dxa"/>
            <w:shd w:val="clear" w:color="auto" w:fill="auto"/>
          </w:tcPr>
          <w:p w14:paraId="3A7A7CF8" w14:textId="77777777" w:rsidR="00F445B1" w:rsidRPr="00380767" w:rsidRDefault="00F445B1" w:rsidP="004A6D2F">
            <w:pPr>
              <w:rPr>
                <w:rStyle w:val="Firstpagetablebold"/>
              </w:rPr>
            </w:pPr>
            <w:r w:rsidRPr="00380767">
              <w:rPr>
                <w:rStyle w:val="Firstpagetablebold"/>
              </w:rPr>
              <w:t xml:space="preserve">Title of Report: </w:t>
            </w:r>
          </w:p>
        </w:tc>
        <w:tc>
          <w:tcPr>
            <w:tcW w:w="6406" w:type="dxa"/>
            <w:shd w:val="clear" w:color="auto" w:fill="auto"/>
          </w:tcPr>
          <w:p w14:paraId="0819122F" w14:textId="40C79479" w:rsidR="00F445B1" w:rsidRPr="001356F1" w:rsidRDefault="00BC7F97" w:rsidP="00BC7F97">
            <w:pPr>
              <w:rPr>
                <w:rStyle w:val="Firstpagetablebold"/>
              </w:rPr>
            </w:pPr>
            <w:r>
              <w:rPr>
                <w:rStyle w:val="Firstpagetablebold"/>
              </w:rPr>
              <w:t xml:space="preserve">Proposal to exercise the </w:t>
            </w:r>
            <w:r w:rsidRPr="00BC7F97">
              <w:rPr>
                <w:rStyle w:val="Firstpagetablebold"/>
              </w:rPr>
              <w:t xml:space="preserve">Duty to Cooperate with Cherwell District Council to meet Oxfordshire’s unmet housing </w:t>
            </w:r>
            <w:r>
              <w:rPr>
                <w:rStyle w:val="Firstpagetablebold"/>
              </w:rPr>
              <w:t xml:space="preserve">need </w:t>
            </w:r>
          </w:p>
        </w:tc>
      </w:tr>
    </w:tbl>
    <w:p w14:paraId="2CD6EB3F"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766CB6E3" w14:textId="77777777" w:rsidTr="0080749A">
        <w:tc>
          <w:tcPr>
            <w:tcW w:w="8845" w:type="dxa"/>
            <w:gridSpan w:val="3"/>
            <w:tcBorders>
              <w:bottom w:val="single" w:sz="8" w:space="0" w:color="000000"/>
            </w:tcBorders>
            <w:hideMark/>
          </w:tcPr>
          <w:p w14:paraId="4C0BA95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A3F80B4" w14:textId="77777777" w:rsidTr="0080749A">
        <w:tc>
          <w:tcPr>
            <w:tcW w:w="2438" w:type="dxa"/>
            <w:gridSpan w:val="2"/>
            <w:tcBorders>
              <w:top w:val="single" w:sz="8" w:space="0" w:color="000000"/>
              <w:left w:val="single" w:sz="8" w:space="0" w:color="000000"/>
              <w:bottom w:val="nil"/>
              <w:right w:val="nil"/>
            </w:tcBorders>
            <w:hideMark/>
          </w:tcPr>
          <w:p w14:paraId="43B11076"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AD14B37" w14:textId="4542E874" w:rsidR="00D5547E" w:rsidRPr="001356F1" w:rsidRDefault="00BC7F97" w:rsidP="009E6410">
            <w:r>
              <w:t>To seek a</w:t>
            </w:r>
            <w:r w:rsidR="0089648C">
              <w:t xml:space="preserve">pproval </w:t>
            </w:r>
            <w:r>
              <w:t xml:space="preserve">for a scheme which involves </w:t>
            </w:r>
            <w:r w:rsidR="0089648C">
              <w:t xml:space="preserve">exercising the Duty to Cooperate </w:t>
            </w:r>
            <w:r w:rsidR="00026816">
              <w:t xml:space="preserve">under the Localism Act 2011 </w:t>
            </w:r>
            <w:r w:rsidR="0089648C">
              <w:t xml:space="preserve">with </w:t>
            </w:r>
            <w:r w:rsidR="00C910A9">
              <w:t xml:space="preserve">Cherwell District Council </w:t>
            </w:r>
            <w:r w:rsidR="0089648C">
              <w:t>to meet Oxfordshire</w:t>
            </w:r>
            <w:r w:rsidR="00C910A9">
              <w:t>’s unmet housing need</w:t>
            </w:r>
            <w:r w:rsidR="00BD3D1C">
              <w:t xml:space="preserve"> and </w:t>
            </w:r>
            <w:r w:rsidR="00A42CA7">
              <w:t xml:space="preserve">to provide </w:t>
            </w:r>
            <w:r w:rsidR="00BD3D1C">
              <w:t>an update on the wider Ox</w:t>
            </w:r>
            <w:r w:rsidR="00A42CA7">
              <w:t xml:space="preserve">fordshire </w:t>
            </w:r>
            <w:r w:rsidR="00BD3D1C">
              <w:t>agreements</w:t>
            </w:r>
            <w:r w:rsidR="004318F0">
              <w:t xml:space="preserve"> with West Oxfordshire D</w:t>
            </w:r>
            <w:r w:rsidR="00380767">
              <w:t>istrict Council,</w:t>
            </w:r>
            <w:r w:rsidR="00A42CA7">
              <w:t xml:space="preserve"> </w:t>
            </w:r>
            <w:r w:rsidR="00380767">
              <w:t xml:space="preserve">South </w:t>
            </w:r>
            <w:r w:rsidR="00A42CA7">
              <w:t xml:space="preserve">Oxfordshire District Council </w:t>
            </w:r>
            <w:r w:rsidR="00380767">
              <w:t xml:space="preserve">and Vale </w:t>
            </w:r>
            <w:r w:rsidR="00A42CA7">
              <w:t xml:space="preserve">of White Horse </w:t>
            </w:r>
            <w:r w:rsidR="00380767">
              <w:t>District Council</w:t>
            </w:r>
            <w:r w:rsidR="00A42CA7">
              <w:t xml:space="preserve">. </w:t>
            </w:r>
          </w:p>
        </w:tc>
      </w:tr>
      <w:tr w:rsidR="00D5547E" w14:paraId="3C83F2D5" w14:textId="77777777" w:rsidTr="0080749A">
        <w:tc>
          <w:tcPr>
            <w:tcW w:w="2438" w:type="dxa"/>
            <w:gridSpan w:val="2"/>
            <w:tcBorders>
              <w:top w:val="nil"/>
              <w:left w:val="single" w:sz="8" w:space="0" w:color="000000"/>
              <w:bottom w:val="nil"/>
              <w:right w:val="nil"/>
            </w:tcBorders>
            <w:hideMark/>
          </w:tcPr>
          <w:p w14:paraId="01395FD2"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111DBA62" w14:textId="1B8C49DB" w:rsidR="00D5547E" w:rsidRPr="001356F1" w:rsidRDefault="00D5547E" w:rsidP="00380767">
            <w:r w:rsidRPr="001356F1">
              <w:t xml:space="preserve">Yes </w:t>
            </w:r>
          </w:p>
        </w:tc>
      </w:tr>
      <w:tr w:rsidR="00D5547E" w14:paraId="47FA4D30" w14:textId="77777777" w:rsidTr="0080749A">
        <w:tc>
          <w:tcPr>
            <w:tcW w:w="2438" w:type="dxa"/>
            <w:gridSpan w:val="2"/>
            <w:tcBorders>
              <w:top w:val="nil"/>
              <w:left w:val="single" w:sz="8" w:space="0" w:color="000000"/>
              <w:bottom w:val="nil"/>
              <w:right w:val="nil"/>
            </w:tcBorders>
            <w:hideMark/>
          </w:tcPr>
          <w:p w14:paraId="2D07A152"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18C490F9" w14:textId="43A7A5F0" w:rsidR="006E35C0" w:rsidRPr="00E547CF" w:rsidRDefault="00380767" w:rsidP="00BD3D1C">
            <w:r>
              <w:t>Cabinet Member</w:t>
            </w:r>
            <w:r w:rsidR="00BD3D1C">
              <w:t xml:space="preserve"> </w:t>
            </w:r>
            <w:r w:rsidR="004318F0">
              <w:t xml:space="preserve">for </w:t>
            </w:r>
            <w:r w:rsidR="00BD3D1C">
              <w:t>Affordable Housing</w:t>
            </w:r>
            <w:r w:rsidR="006E35C0">
              <w:t xml:space="preserve">, Housing Security </w:t>
            </w:r>
            <w:r w:rsidR="00BD3D1C">
              <w:t xml:space="preserve"> and Housing the Homeless</w:t>
            </w:r>
          </w:p>
        </w:tc>
      </w:tr>
      <w:tr w:rsidR="0080749A" w14:paraId="08CC6506" w14:textId="77777777" w:rsidTr="0080749A">
        <w:tc>
          <w:tcPr>
            <w:tcW w:w="2438" w:type="dxa"/>
            <w:gridSpan w:val="2"/>
            <w:tcBorders>
              <w:top w:val="nil"/>
              <w:left w:val="single" w:sz="8" w:space="0" w:color="000000"/>
              <w:bottom w:val="nil"/>
              <w:right w:val="nil"/>
            </w:tcBorders>
          </w:tcPr>
          <w:p w14:paraId="68701522"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2EE7AC5E" w14:textId="64D3CA6E" w:rsidR="0080749A" w:rsidRPr="00E547CF" w:rsidRDefault="004318F0" w:rsidP="00E547CF">
            <w:r>
              <w:t>Meeting Housing Need</w:t>
            </w:r>
          </w:p>
        </w:tc>
      </w:tr>
      <w:tr w:rsidR="00D5547E" w14:paraId="6156DCAF" w14:textId="77777777" w:rsidTr="0080749A">
        <w:tc>
          <w:tcPr>
            <w:tcW w:w="2438" w:type="dxa"/>
            <w:gridSpan w:val="2"/>
            <w:tcBorders>
              <w:top w:val="nil"/>
              <w:left w:val="single" w:sz="8" w:space="0" w:color="000000"/>
              <w:bottom w:val="nil"/>
              <w:right w:val="nil"/>
            </w:tcBorders>
            <w:hideMark/>
          </w:tcPr>
          <w:p w14:paraId="244C469C"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1D3DA7B0" w14:textId="1123EAE6" w:rsidR="00D5547E" w:rsidRPr="0089648C" w:rsidRDefault="00380767" w:rsidP="005F7F7E">
            <w:pPr>
              <w:rPr>
                <w:highlight w:val="yellow"/>
              </w:rPr>
            </w:pPr>
            <w:r w:rsidRPr="00380767">
              <w:t>Hous</w:t>
            </w:r>
            <w:r>
              <w:t>ing and Homeless Strategy 2018 to</w:t>
            </w:r>
            <w:r w:rsidRPr="00380767">
              <w:t xml:space="preserve"> 2021</w:t>
            </w:r>
          </w:p>
        </w:tc>
      </w:tr>
      <w:tr w:rsidR="005F7F7E" w:rsidRPr="00975B07" w14:paraId="77B96BED" w14:textId="77777777" w:rsidTr="00A46E98">
        <w:trPr>
          <w:trHeight w:val="413"/>
        </w:trPr>
        <w:tc>
          <w:tcPr>
            <w:tcW w:w="8845" w:type="dxa"/>
            <w:gridSpan w:val="3"/>
            <w:tcBorders>
              <w:bottom w:val="single" w:sz="8" w:space="0" w:color="000000"/>
            </w:tcBorders>
          </w:tcPr>
          <w:p w14:paraId="5C5D05EE" w14:textId="4A0BB5F2" w:rsidR="005F7F7E" w:rsidRPr="00975B07" w:rsidRDefault="009833CE" w:rsidP="00DB7AD7">
            <w:proofErr w:type="spellStart"/>
            <w:r>
              <w:rPr>
                <w:rStyle w:val="Firstpagetablebold"/>
              </w:rPr>
              <w:t>Recommendation</w:t>
            </w:r>
            <w:r w:rsidR="005F7F7E">
              <w:rPr>
                <w:rStyle w:val="Firstpagetablebold"/>
              </w:rPr>
              <w:t>s:</w:t>
            </w:r>
            <w:r w:rsidR="005F7F7E" w:rsidRPr="009833CE">
              <w:rPr>
                <w:rStyle w:val="Firstpagetablebold"/>
                <w:b w:val="0"/>
              </w:rPr>
              <w:t>That</w:t>
            </w:r>
            <w:proofErr w:type="spellEnd"/>
            <w:r w:rsidR="005F7F7E" w:rsidRPr="009833CE">
              <w:rPr>
                <w:rStyle w:val="Firstpagetablebold"/>
                <w:b w:val="0"/>
              </w:rPr>
              <w:t xml:space="preserve"> </w:t>
            </w:r>
            <w:r w:rsidR="00DB7AD7" w:rsidRPr="009833CE">
              <w:rPr>
                <w:rStyle w:val="Firstpagetablebold"/>
                <w:b w:val="0"/>
              </w:rPr>
              <w:t>Cabinet</w:t>
            </w:r>
            <w:r w:rsidR="005F7F7E" w:rsidRPr="009833CE">
              <w:rPr>
                <w:rStyle w:val="Firstpagetablebold"/>
                <w:b w:val="0"/>
              </w:rPr>
              <w:t xml:space="preserve"> resolves to:</w:t>
            </w:r>
          </w:p>
        </w:tc>
      </w:tr>
      <w:tr w:rsidR="0030208D" w:rsidRPr="00975B07" w14:paraId="45EDAB57" w14:textId="77777777" w:rsidTr="00A46E98">
        <w:trPr>
          <w:trHeight w:val="283"/>
        </w:trPr>
        <w:tc>
          <w:tcPr>
            <w:tcW w:w="426" w:type="dxa"/>
            <w:tcBorders>
              <w:top w:val="single" w:sz="8" w:space="0" w:color="000000"/>
              <w:left w:val="single" w:sz="8" w:space="0" w:color="000000"/>
              <w:bottom w:val="nil"/>
              <w:right w:val="nil"/>
            </w:tcBorders>
          </w:tcPr>
          <w:p w14:paraId="1F6E5597" w14:textId="77777777"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14:paraId="66D64A4F" w14:textId="1A7D3424" w:rsidR="0030208D" w:rsidRPr="001356F1" w:rsidRDefault="004318F0" w:rsidP="002069B3">
            <w:r w:rsidRPr="009833CE">
              <w:rPr>
                <w:b/>
              </w:rPr>
              <w:t>A</w:t>
            </w:r>
            <w:r w:rsidR="0089648C" w:rsidRPr="009833CE">
              <w:rPr>
                <w:b/>
              </w:rPr>
              <w:t>pprove</w:t>
            </w:r>
            <w:r w:rsidR="0089648C">
              <w:t xml:space="preserve"> exercising the duty to cooperate </w:t>
            </w:r>
            <w:r w:rsidR="009E6410">
              <w:t xml:space="preserve">under the Localism Act 2011 </w:t>
            </w:r>
            <w:r w:rsidR="0089648C">
              <w:t>with</w:t>
            </w:r>
            <w:r w:rsidR="00C910A9">
              <w:t xml:space="preserve"> Cherwell District Council and other</w:t>
            </w:r>
            <w:r w:rsidR="0089648C">
              <w:t xml:space="preserve"> neighbouring </w:t>
            </w:r>
            <w:r w:rsidR="00A42CA7">
              <w:t>d</w:t>
            </w:r>
            <w:r w:rsidR="0089648C">
              <w:t>istrict</w:t>
            </w:r>
            <w:r w:rsidR="00A42CA7">
              <w:t xml:space="preserve"> councils</w:t>
            </w:r>
            <w:r w:rsidR="0089648C">
              <w:t xml:space="preserve"> to meet Oxfordshire’s housing need</w:t>
            </w:r>
            <w:r w:rsidR="009833CE">
              <w:t>;</w:t>
            </w:r>
          </w:p>
        </w:tc>
      </w:tr>
      <w:tr w:rsidR="0030208D" w:rsidRPr="00975B07" w14:paraId="51B69B69" w14:textId="77777777" w:rsidTr="00A46E98">
        <w:trPr>
          <w:trHeight w:val="283"/>
        </w:trPr>
        <w:tc>
          <w:tcPr>
            <w:tcW w:w="426" w:type="dxa"/>
            <w:tcBorders>
              <w:top w:val="nil"/>
              <w:left w:val="single" w:sz="8" w:space="0" w:color="000000"/>
              <w:bottom w:val="nil"/>
              <w:right w:val="nil"/>
            </w:tcBorders>
          </w:tcPr>
          <w:p w14:paraId="49D2FEFF" w14:textId="77777777"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14:paraId="3E8D6709" w14:textId="27E845E8" w:rsidR="0030208D" w:rsidRPr="001356F1" w:rsidRDefault="00A42CA7" w:rsidP="006A5EFF">
            <w:r w:rsidRPr="009833CE">
              <w:rPr>
                <w:rFonts w:cs="Arial"/>
                <w:b/>
              </w:rPr>
              <w:t>Agree in principle</w:t>
            </w:r>
            <w:r>
              <w:rPr>
                <w:rFonts w:cs="Arial"/>
              </w:rPr>
              <w:t xml:space="preserve"> to accept a delegation from Cherwell District Council </w:t>
            </w:r>
            <w:r w:rsidR="006A5EFF">
              <w:rPr>
                <w:rFonts w:cs="Arial"/>
              </w:rPr>
              <w:t>using section 101</w:t>
            </w:r>
            <w:r>
              <w:rPr>
                <w:rFonts w:cs="Arial"/>
              </w:rPr>
              <w:t xml:space="preserve"> of the Local Government Act 1972 to perform its statutory housing functions in respect of properties identified in orde</w:t>
            </w:r>
            <w:r w:rsidR="009833CE">
              <w:rPr>
                <w:rFonts w:cs="Arial"/>
              </w:rPr>
              <w:t>r to meet Oxford’s unmet demand;</w:t>
            </w:r>
            <w:r>
              <w:rPr>
                <w:rFonts w:cs="Arial"/>
              </w:rPr>
              <w:t xml:space="preserve"> </w:t>
            </w:r>
            <w:r w:rsidR="007502F6" w:rsidRPr="00277050">
              <w:rPr>
                <w:rFonts w:cs="Arial"/>
                <w:highlight w:val="yellow"/>
              </w:rPr>
              <w:t xml:space="preserve"> </w:t>
            </w:r>
          </w:p>
        </w:tc>
      </w:tr>
      <w:tr w:rsidR="00232F5B" w:rsidRPr="00975B07" w14:paraId="449CEAD9" w14:textId="77777777" w:rsidTr="00A46E98">
        <w:trPr>
          <w:trHeight w:val="283"/>
        </w:trPr>
        <w:tc>
          <w:tcPr>
            <w:tcW w:w="426" w:type="dxa"/>
            <w:tcBorders>
              <w:top w:val="nil"/>
              <w:left w:val="single" w:sz="8" w:space="0" w:color="000000"/>
              <w:bottom w:val="nil"/>
              <w:right w:val="nil"/>
            </w:tcBorders>
          </w:tcPr>
          <w:p w14:paraId="6574EE7F" w14:textId="66C1FF83"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14:paraId="51EE78CB" w14:textId="719478F2" w:rsidR="0030208D" w:rsidRPr="001356F1" w:rsidRDefault="009833CE" w:rsidP="007502F6">
            <w:r w:rsidRPr="009833CE">
              <w:rPr>
                <w:b/>
              </w:rPr>
              <w:t>N</w:t>
            </w:r>
            <w:r w:rsidR="007502F6" w:rsidRPr="009833CE">
              <w:rPr>
                <w:b/>
              </w:rPr>
              <w:t>ote</w:t>
            </w:r>
            <w:r w:rsidR="007502F6">
              <w:t xml:space="preserve"> the agreed approach with W</w:t>
            </w:r>
            <w:r w:rsidR="00A42CA7">
              <w:t xml:space="preserve">est </w:t>
            </w:r>
            <w:r w:rsidR="007502F6">
              <w:t>O</w:t>
            </w:r>
            <w:r w:rsidR="00A42CA7">
              <w:t xml:space="preserve">xfordshire </w:t>
            </w:r>
            <w:r w:rsidR="007502F6">
              <w:t>D</w:t>
            </w:r>
            <w:r w:rsidR="00A42CA7">
              <w:t xml:space="preserve">istrict </w:t>
            </w:r>
            <w:r w:rsidR="007502F6">
              <w:t>C</w:t>
            </w:r>
            <w:r w:rsidR="00A42CA7">
              <w:t>ouncil</w:t>
            </w:r>
            <w:r>
              <w:t>;</w:t>
            </w:r>
          </w:p>
        </w:tc>
      </w:tr>
      <w:tr w:rsidR="00232F5B" w:rsidRPr="00975B07" w14:paraId="2CC0336C" w14:textId="77777777" w:rsidTr="00A46E98">
        <w:trPr>
          <w:trHeight w:val="283"/>
        </w:trPr>
        <w:tc>
          <w:tcPr>
            <w:tcW w:w="426" w:type="dxa"/>
            <w:tcBorders>
              <w:top w:val="nil"/>
              <w:left w:val="single" w:sz="8" w:space="0" w:color="000000"/>
              <w:bottom w:val="nil"/>
              <w:right w:val="nil"/>
            </w:tcBorders>
          </w:tcPr>
          <w:p w14:paraId="76D63F1C" w14:textId="77777777" w:rsidR="0030208D" w:rsidRDefault="00046D2B" w:rsidP="004A6D2F">
            <w:r w:rsidRPr="00975B07">
              <w:t>4.</w:t>
            </w:r>
          </w:p>
          <w:p w14:paraId="6DE6F7C8" w14:textId="76C695EA" w:rsidR="00A42CA7" w:rsidRDefault="009E6410" w:rsidP="004A6D2F">
            <w:r>
              <w:t>5.</w:t>
            </w:r>
          </w:p>
          <w:p w14:paraId="52EA5E46" w14:textId="14400651" w:rsidR="00A42CA7" w:rsidRPr="00975B07" w:rsidRDefault="00A42CA7" w:rsidP="004A6D2F"/>
        </w:tc>
        <w:tc>
          <w:tcPr>
            <w:tcW w:w="8419" w:type="dxa"/>
            <w:gridSpan w:val="2"/>
            <w:tcBorders>
              <w:top w:val="nil"/>
              <w:left w:val="nil"/>
              <w:bottom w:val="nil"/>
              <w:right w:val="single" w:sz="8" w:space="0" w:color="000000"/>
            </w:tcBorders>
            <w:shd w:val="clear" w:color="auto" w:fill="auto"/>
          </w:tcPr>
          <w:p w14:paraId="25263935" w14:textId="49F90728" w:rsidR="00A42CA7" w:rsidRDefault="009833CE" w:rsidP="00A42CA7">
            <w:r w:rsidRPr="009833CE">
              <w:rPr>
                <w:rStyle w:val="Firstpagetablebold"/>
              </w:rPr>
              <w:t>N</w:t>
            </w:r>
            <w:r w:rsidR="007502F6" w:rsidRPr="009833CE">
              <w:rPr>
                <w:b/>
              </w:rPr>
              <w:t>ote</w:t>
            </w:r>
            <w:r w:rsidR="007502F6">
              <w:t xml:space="preserve"> the agreed approach with </w:t>
            </w:r>
            <w:r w:rsidR="00A42CA7" w:rsidRPr="00A42CA7">
              <w:t>South Oxfordshire District Council</w:t>
            </w:r>
            <w:r w:rsidR="00A42CA7">
              <w:t>; and</w:t>
            </w:r>
          </w:p>
          <w:p w14:paraId="042F7C4C" w14:textId="1ECBD620" w:rsidR="0030208D" w:rsidRPr="001356F1" w:rsidRDefault="009833CE" w:rsidP="00A42CA7">
            <w:r w:rsidRPr="009833CE">
              <w:rPr>
                <w:b/>
              </w:rPr>
              <w:t>N</w:t>
            </w:r>
            <w:r w:rsidR="00A42CA7" w:rsidRPr="009833CE">
              <w:rPr>
                <w:b/>
              </w:rPr>
              <w:t>ote</w:t>
            </w:r>
            <w:r w:rsidR="00A42CA7">
              <w:t xml:space="preserve"> the agreed approach with</w:t>
            </w:r>
            <w:r w:rsidR="00A42CA7" w:rsidRPr="00A42CA7">
              <w:t xml:space="preserve"> Vale of White Horse District Council</w:t>
            </w:r>
          </w:p>
        </w:tc>
      </w:tr>
      <w:bookmarkEnd w:id="0"/>
      <w:tr w:rsidR="00232F5B" w:rsidRPr="00975B07" w14:paraId="1375673C" w14:textId="77777777" w:rsidTr="00A46E98">
        <w:trPr>
          <w:trHeight w:val="283"/>
        </w:trPr>
        <w:tc>
          <w:tcPr>
            <w:tcW w:w="426" w:type="dxa"/>
            <w:tcBorders>
              <w:top w:val="nil"/>
              <w:left w:val="single" w:sz="8" w:space="0" w:color="000000"/>
              <w:bottom w:val="single" w:sz="8" w:space="0" w:color="000000"/>
              <w:right w:val="nil"/>
            </w:tcBorders>
          </w:tcPr>
          <w:p w14:paraId="64817878" w14:textId="5733BC93"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55F78350" w14:textId="5DAD5861" w:rsidR="0030208D" w:rsidRPr="001356F1" w:rsidRDefault="0030208D" w:rsidP="00247C29"/>
        </w:tc>
      </w:tr>
      <w:tr w:rsidR="00966D42" w:rsidRPr="00975B07" w14:paraId="3931F711" w14:textId="7777777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4" w:type="dxa"/>
            <w:gridSpan w:val="3"/>
            <w:tcBorders>
              <w:top w:val="single" w:sz="8" w:space="0" w:color="000000"/>
              <w:left w:val="single" w:sz="8" w:space="0" w:color="000000"/>
              <w:bottom w:val="single" w:sz="8" w:space="0" w:color="000000"/>
              <w:right w:val="single" w:sz="8" w:space="0" w:color="000000"/>
            </w:tcBorders>
            <w:shd w:val="clear" w:color="auto" w:fill="auto"/>
          </w:tcPr>
          <w:p w14:paraId="7B0991F9" w14:textId="77777777" w:rsidR="00966D42" w:rsidRPr="00975B07" w:rsidRDefault="00966D42" w:rsidP="00263EA3">
            <w:pPr>
              <w:jc w:val="center"/>
            </w:pPr>
            <w:r w:rsidRPr="00745BF0">
              <w:rPr>
                <w:rStyle w:val="Firstpagetablebold"/>
              </w:rPr>
              <w:t>Appendices</w:t>
            </w:r>
          </w:p>
        </w:tc>
      </w:tr>
      <w:tr w:rsidR="00ED5860" w:rsidRPr="00975B07" w14:paraId="4CA90FF3" w14:textId="7777777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14:paraId="4CE01986" w14:textId="77777777" w:rsidR="00ED5860" w:rsidRPr="00975B07" w:rsidRDefault="00ED5860" w:rsidP="004A6D2F">
            <w:r w:rsidRPr="00975B07">
              <w:lastRenderedPageBreak/>
              <w:t>Appendix 1</w:t>
            </w:r>
          </w:p>
        </w:tc>
        <w:tc>
          <w:tcPr>
            <w:tcW w:w="6406" w:type="dxa"/>
            <w:tcBorders>
              <w:top w:val="single" w:sz="8" w:space="0" w:color="000000"/>
              <w:left w:val="nil"/>
              <w:bottom w:val="nil"/>
              <w:right w:val="single" w:sz="8" w:space="0" w:color="000000"/>
            </w:tcBorders>
          </w:tcPr>
          <w:p w14:paraId="4C3FF50F" w14:textId="1941BEC3" w:rsidR="00ED5860" w:rsidRPr="001356F1" w:rsidRDefault="007502F6" w:rsidP="004A6D2F">
            <w:r>
              <w:rPr>
                <w:rFonts w:cs="Arial"/>
              </w:rPr>
              <w:t>W</w:t>
            </w:r>
            <w:r w:rsidR="00A836DB">
              <w:rPr>
                <w:rFonts w:cs="Arial"/>
              </w:rPr>
              <w:t xml:space="preserve">est </w:t>
            </w:r>
            <w:r>
              <w:rPr>
                <w:rFonts w:cs="Arial"/>
              </w:rPr>
              <w:t>O</w:t>
            </w:r>
            <w:r w:rsidR="00A836DB">
              <w:rPr>
                <w:rFonts w:cs="Arial"/>
              </w:rPr>
              <w:t xml:space="preserve">xfordshire </w:t>
            </w:r>
            <w:r>
              <w:rPr>
                <w:rFonts w:cs="Arial"/>
              </w:rPr>
              <w:t>D</w:t>
            </w:r>
            <w:r w:rsidR="00A836DB">
              <w:rPr>
                <w:rFonts w:cs="Arial"/>
              </w:rPr>
              <w:t xml:space="preserve">istrict </w:t>
            </w:r>
            <w:r>
              <w:rPr>
                <w:rFonts w:cs="Arial"/>
              </w:rPr>
              <w:t>C</w:t>
            </w:r>
            <w:r w:rsidR="00A836DB">
              <w:rPr>
                <w:rFonts w:cs="Arial"/>
              </w:rPr>
              <w:t>ouncil</w:t>
            </w:r>
            <w:r>
              <w:rPr>
                <w:rFonts w:cs="Arial"/>
              </w:rPr>
              <w:t xml:space="preserve"> Memorandum of Undertaking</w:t>
            </w:r>
          </w:p>
        </w:tc>
      </w:tr>
      <w:tr w:rsidR="00ED5860" w:rsidRPr="00975B07" w14:paraId="4DDF5310" w14:textId="7777777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14:paraId="0CD5AC68"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7C43BE0F" w14:textId="25409048" w:rsidR="00277050" w:rsidRPr="001356F1" w:rsidRDefault="006E3510" w:rsidP="00A836DB">
            <w:r>
              <w:t>Report and Resolution of Cherwell District Council (April 2000)</w:t>
            </w:r>
          </w:p>
        </w:tc>
      </w:tr>
      <w:tr w:rsidR="0030208D" w:rsidRPr="00975B07" w14:paraId="3181F7F1" w14:textId="7777777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14:paraId="0B827258" w14:textId="77777777" w:rsidR="0030208D" w:rsidRPr="00975B07" w:rsidRDefault="0030208D" w:rsidP="004A6D2F">
            <w:r w:rsidRPr="00975B07">
              <w:t>Appendix 3</w:t>
            </w:r>
          </w:p>
        </w:tc>
        <w:tc>
          <w:tcPr>
            <w:tcW w:w="6406" w:type="dxa"/>
            <w:tcBorders>
              <w:top w:val="nil"/>
              <w:left w:val="nil"/>
              <w:bottom w:val="nil"/>
              <w:right w:val="single" w:sz="8" w:space="0" w:color="000000"/>
            </w:tcBorders>
          </w:tcPr>
          <w:p w14:paraId="2669522B" w14:textId="561EBA22" w:rsidR="0030208D" w:rsidRPr="001356F1" w:rsidRDefault="007502F6" w:rsidP="004A6D2F">
            <w:r>
              <w:t>List of C</w:t>
            </w:r>
            <w:r w:rsidR="00A836DB">
              <w:t xml:space="preserve">herwell </w:t>
            </w:r>
            <w:r>
              <w:t>D</w:t>
            </w:r>
            <w:r w:rsidR="00A836DB">
              <w:t xml:space="preserve">istrict </w:t>
            </w:r>
            <w:r>
              <w:t>C</w:t>
            </w:r>
            <w:r w:rsidR="00A836DB">
              <w:t>ouncil</w:t>
            </w:r>
            <w:r>
              <w:t xml:space="preserve"> Unmet Housing Need Sites</w:t>
            </w:r>
          </w:p>
        </w:tc>
      </w:tr>
      <w:tr w:rsidR="0030208D" w:rsidRPr="00975B07" w14:paraId="134A6705" w14:textId="7777777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14:paraId="6211947E" w14:textId="45C58580" w:rsidR="0030208D" w:rsidRPr="00975B07" w:rsidRDefault="0030208D" w:rsidP="004A6D2F"/>
        </w:tc>
        <w:tc>
          <w:tcPr>
            <w:tcW w:w="6406" w:type="dxa"/>
            <w:tcBorders>
              <w:top w:val="nil"/>
              <w:left w:val="nil"/>
              <w:bottom w:val="single" w:sz="8" w:space="0" w:color="000000"/>
              <w:right w:val="single" w:sz="8" w:space="0" w:color="000000"/>
            </w:tcBorders>
          </w:tcPr>
          <w:p w14:paraId="577A8B9A" w14:textId="0A842F31" w:rsidR="0030208D" w:rsidRPr="001356F1" w:rsidRDefault="0030208D" w:rsidP="004A6D2F"/>
        </w:tc>
      </w:tr>
    </w:tbl>
    <w:p w14:paraId="285ED6A7" w14:textId="77777777" w:rsidR="008C52A8" w:rsidRDefault="008C52A8" w:rsidP="004A6D2F">
      <w:pPr>
        <w:pStyle w:val="Heading1"/>
      </w:pPr>
    </w:p>
    <w:p w14:paraId="595D821C" w14:textId="024E50BB" w:rsidR="0040736F" w:rsidRPr="001356F1" w:rsidRDefault="001376F0" w:rsidP="001376F0">
      <w:pPr>
        <w:pStyle w:val="Heading1"/>
      </w:pPr>
      <w:r>
        <w:t xml:space="preserve">1.0 </w:t>
      </w:r>
      <w:r>
        <w:tab/>
      </w:r>
      <w:r w:rsidR="00F66DCA" w:rsidRPr="001356F1">
        <w:t>Introduction and b</w:t>
      </w:r>
      <w:r w:rsidR="00151888" w:rsidRPr="001356F1">
        <w:t>ackground</w:t>
      </w:r>
      <w:r w:rsidR="00404032" w:rsidRPr="001356F1">
        <w:t xml:space="preserve"> </w:t>
      </w:r>
    </w:p>
    <w:p w14:paraId="735543E9" w14:textId="7EA484EB" w:rsidR="005860A3" w:rsidRPr="00831E8A" w:rsidRDefault="005860A3" w:rsidP="008D4970">
      <w:pPr>
        <w:pStyle w:val="ListParagraph"/>
        <w:numPr>
          <w:ilvl w:val="1"/>
          <w:numId w:val="42"/>
        </w:numPr>
        <w:rPr>
          <w:rFonts w:cs="Arial"/>
        </w:rPr>
      </w:pPr>
      <w:r w:rsidRPr="001376F0">
        <w:rPr>
          <w:rFonts w:cs="Arial"/>
        </w:rPr>
        <w:t>Oxford City</w:t>
      </w:r>
      <w:r w:rsidR="00A836DB" w:rsidRPr="001376F0">
        <w:rPr>
          <w:rFonts w:cs="Arial"/>
        </w:rPr>
        <w:t xml:space="preserve"> Council</w:t>
      </w:r>
      <w:r w:rsidRPr="001376F0">
        <w:rPr>
          <w:rFonts w:cs="Arial"/>
        </w:rPr>
        <w:t xml:space="preserve"> </w:t>
      </w:r>
      <w:r w:rsidR="000021BF" w:rsidRPr="001376F0">
        <w:rPr>
          <w:rFonts w:cs="Arial"/>
        </w:rPr>
        <w:t xml:space="preserve">(“the Council”) </w:t>
      </w:r>
      <w:r w:rsidRPr="001376F0">
        <w:rPr>
          <w:rFonts w:cs="Arial"/>
        </w:rPr>
        <w:t xml:space="preserve">is unable to meet its assessed housing </w:t>
      </w:r>
      <w:r w:rsidR="00A836DB" w:rsidRPr="001376F0">
        <w:rPr>
          <w:rFonts w:cs="Arial"/>
        </w:rPr>
        <w:t xml:space="preserve">supply </w:t>
      </w:r>
      <w:r w:rsidRPr="001376F0">
        <w:rPr>
          <w:rFonts w:cs="Arial"/>
        </w:rPr>
        <w:t>needs within the administrative boundary of the city.  This is evidenced in various reports, including the Oxfordshire Strategic Housing Market Assessment 2014</w:t>
      </w:r>
      <w:r w:rsidR="00A836DB" w:rsidRPr="00831E8A">
        <w:rPr>
          <w:rFonts w:cs="Arial"/>
        </w:rPr>
        <w:t xml:space="preserve"> (“SH</w:t>
      </w:r>
      <w:r w:rsidR="00277050" w:rsidRPr="00831E8A">
        <w:rPr>
          <w:rFonts w:cs="Arial"/>
        </w:rPr>
        <w:t>M</w:t>
      </w:r>
      <w:r w:rsidR="00A836DB" w:rsidRPr="00831E8A">
        <w:rPr>
          <w:rFonts w:cs="Arial"/>
        </w:rPr>
        <w:t>A”)</w:t>
      </w:r>
      <w:r w:rsidRPr="00831E8A">
        <w:rPr>
          <w:rFonts w:cs="Arial"/>
        </w:rPr>
        <w:t xml:space="preserve"> jointly commissioned by all five local authorities, and in subsequent research, updates (2018) and tests, including reports assessing available land supply in Oxford.</w:t>
      </w:r>
    </w:p>
    <w:p w14:paraId="5624EDFB" w14:textId="77777777" w:rsidR="0019572A" w:rsidRDefault="0019572A" w:rsidP="005860A3">
      <w:pPr>
        <w:rPr>
          <w:rFonts w:cs="Arial"/>
        </w:rPr>
      </w:pPr>
    </w:p>
    <w:p w14:paraId="61CA9F62" w14:textId="77E74A9C" w:rsidR="0019572A" w:rsidRPr="00831E8A" w:rsidRDefault="0019572A" w:rsidP="008D4970">
      <w:pPr>
        <w:pStyle w:val="ListParagraph"/>
        <w:numPr>
          <w:ilvl w:val="1"/>
          <w:numId w:val="42"/>
        </w:numPr>
        <w:rPr>
          <w:rFonts w:cs="Arial"/>
        </w:rPr>
      </w:pPr>
      <w:r w:rsidRPr="00831E8A">
        <w:rPr>
          <w:rFonts w:cs="Arial"/>
        </w:rPr>
        <w:t xml:space="preserve">In 2016, the Oxfordshire Growth Board (“the Growth Board”) co-ordinated a process of county-wide work to consider how ‘unmet’ housing need arising from Oxford in the period to 2031 should be apportioned across Oxfordshire as a whole.  </w:t>
      </w:r>
      <w:r w:rsidR="00277050" w:rsidRPr="00831E8A">
        <w:rPr>
          <w:rFonts w:cs="Arial"/>
        </w:rPr>
        <w:t>Following the work of t</w:t>
      </w:r>
      <w:r w:rsidRPr="00831E8A">
        <w:rPr>
          <w:rFonts w:cs="Arial"/>
        </w:rPr>
        <w:t xml:space="preserve">he Growth Board </w:t>
      </w:r>
      <w:r w:rsidR="00277050" w:rsidRPr="00831E8A">
        <w:rPr>
          <w:rFonts w:cs="Arial"/>
        </w:rPr>
        <w:t xml:space="preserve">on the SHMA </w:t>
      </w:r>
      <w:r w:rsidRPr="00831E8A">
        <w:rPr>
          <w:rFonts w:cs="Arial"/>
        </w:rPr>
        <w:t xml:space="preserve">an assumption </w:t>
      </w:r>
      <w:r w:rsidR="00277050" w:rsidRPr="00831E8A">
        <w:rPr>
          <w:rFonts w:cs="Arial"/>
        </w:rPr>
        <w:t xml:space="preserve">has been adopted </w:t>
      </w:r>
      <w:r w:rsidRPr="00831E8A">
        <w:rPr>
          <w:rFonts w:cs="Arial"/>
        </w:rPr>
        <w:t>that, in addition to the homes that are to be developed within the city, a further 15,000 homes are required to meet Oxford’s unmet housing need to 2031.</w:t>
      </w:r>
    </w:p>
    <w:p w14:paraId="291B3662" w14:textId="77777777" w:rsidR="005860A3" w:rsidRPr="008C52A8" w:rsidRDefault="005860A3" w:rsidP="005860A3">
      <w:pPr>
        <w:rPr>
          <w:rFonts w:cs="Arial"/>
        </w:rPr>
      </w:pPr>
    </w:p>
    <w:p w14:paraId="14022772" w14:textId="7A64972B" w:rsidR="005860A3" w:rsidRPr="00831E8A" w:rsidRDefault="005860A3" w:rsidP="008D4970">
      <w:pPr>
        <w:pStyle w:val="ListParagraph"/>
        <w:numPr>
          <w:ilvl w:val="1"/>
          <w:numId w:val="42"/>
        </w:numPr>
        <w:rPr>
          <w:rFonts w:cs="Arial"/>
        </w:rPr>
      </w:pPr>
      <w:r w:rsidRPr="00831E8A">
        <w:rPr>
          <w:rFonts w:cs="Arial"/>
        </w:rPr>
        <w:t>For the past five years,</w:t>
      </w:r>
      <w:r w:rsidR="00EE4036" w:rsidRPr="00831E8A">
        <w:rPr>
          <w:rFonts w:cs="Arial"/>
        </w:rPr>
        <w:t xml:space="preserve"> Oxford City Council </w:t>
      </w:r>
      <w:r w:rsidRPr="00831E8A">
        <w:rPr>
          <w:rFonts w:cs="Arial"/>
        </w:rPr>
        <w:t xml:space="preserve">and </w:t>
      </w:r>
      <w:r w:rsidR="00EE4036" w:rsidRPr="00831E8A">
        <w:rPr>
          <w:rFonts w:cs="Arial"/>
        </w:rPr>
        <w:t xml:space="preserve">other </w:t>
      </w:r>
      <w:r w:rsidR="009E6410" w:rsidRPr="00831E8A">
        <w:rPr>
          <w:rFonts w:cs="Arial"/>
        </w:rPr>
        <w:t>d</w:t>
      </w:r>
      <w:r w:rsidRPr="00831E8A">
        <w:rPr>
          <w:rFonts w:cs="Arial"/>
        </w:rPr>
        <w:t xml:space="preserve">istrict </w:t>
      </w:r>
      <w:r w:rsidR="009E6410" w:rsidRPr="00831E8A">
        <w:rPr>
          <w:rFonts w:cs="Arial"/>
        </w:rPr>
        <w:t>c</w:t>
      </w:r>
      <w:r w:rsidRPr="00831E8A">
        <w:rPr>
          <w:rFonts w:cs="Arial"/>
        </w:rPr>
        <w:t xml:space="preserve">ouncils in Oxfordshire have been developing proposals whereby these </w:t>
      </w:r>
      <w:r w:rsidR="00A836DB" w:rsidRPr="00831E8A">
        <w:rPr>
          <w:rFonts w:cs="Arial"/>
        </w:rPr>
        <w:t xml:space="preserve">housing supply </w:t>
      </w:r>
      <w:r w:rsidRPr="00831E8A">
        <w:rPr>
          <w:rFonts w:cs="Arial"/>
        </w:rPr>
        <w:t xml:space="preserve">needs – indeed the needs of Oxfordshire – can be best met through an equitable distribution across local authority boundaries.  </w:t>
      </w:r>
      <w:r w:rsidR="0019572A" w:rsidRPr="00831E8A">
        <w:rPr>
          <w:rFonts w:cs="Arial"/>
        </w:rPr>
        <w:t xml:space="preserve"> </w:t>
      </w:r>
    </w:p>
    <w:p w14:paraId="31AFEBB9" w14:textId="77777777" w:rsidR="005860A3" w:rsidRPr="008C52A8" w:rsidRDefault="005860A3" w:rsidP="005860A3">
      <w:pPr>
        <w:rPr>
          <w:rFonts w:cs="Arial"/>
        </w:rPr>
      </w:pPr>
    </w:p>
    <w:p w14:paraId="79E5BFB0" w14:textId="3EA1156D" w:rsidR="00026816" w:rsidRPr="00831E8A" w:rsidRDefault="00393686" w:rsidP="00D33B9A">
      <w:pPr>
        <w:pStyle w:val="ListParagraph"/>
        <w:numPr>
          <w:ilvl w:val="1"/>
          <w:numId w:val="42"/>
        </w:numPr>
        <w:rPr>
          <w:rFonts w:cs="Arial"/>
        </w:rPr>
      </w:pPr>
      <w:r w:rsidRPr="00831E8A">
        <w:rPr>
          <w:rFonts w:cs="Arial"/>
        </w:rPr>
        <w:t xml:space="preserve">An apportionment of the unmet housing demand between the various districts was assessed and agreed by all strategic partners to the </w:t>
      </w:r>
      <w:r w:rsidR="009E6410" w:rsidRPr="00831E8A">
        <w:rPr>
          <w:rFonts w:cs="Arial"/>
        </w:rPr>
        <w:t xml:space="preserve">Oxfordshire </w:t>
      </w:r>
      <w:r w:rsidRPr="00831E8A">
        <w:rPr>
          <w:rFonts w:cs="Arial"/>
        </w:rPr>
        <w:t>Housing and Growth Deal</w:t>
      </w:r>
      <w:r w:rsidR="00F475A3" w:rsidRPr="00831E8A">
        <w:rPr>
          <w:rFonts w:cs="Arial"/>
        </w:rPr>
        <w:t>.</w:t>
      </w:r>
      <w:r w:rsidRPr="00831E8A">
        <w:rPr>
          <w:rFonts w:cs="Arial"/>
        </w:rPr>
        <w:t xml:space="preserve"> </w:t>
      </w:r>
    </w:p>
    <w:p w14:paraId="22628C25" w14:textId="77777777" w:rsidR="00026816" w:rsidRDefault="00026816" w:rsidP="005860A3">
      <w:pPr>
        <w:rPr>
          <w:rFonts w:cs="Arial"/>
        </w:rPr>
      </w:pPr>
    </w:p>
    <w:p w14:paraId="39A723E9" w14:textId="0F476BD0" w:rsidR="00026816" w:rsidRPr="00831E8A" w:rsidRDefault="00026816" w:rsidP="00D33B9A">
      <w:pPr>
        <w:pStyle w:val="ListParagraph"/>
        <w:numPr>
          <w:ilvl w:val="1"/>
          <w:numId w:val="42"/>
        </w:numPr>
        <w:rPr>
          <w:rFonts w:cs="Arial"/>
        </w:rPr>
      </w:pPr>
      <w:r w:rsidRPr="00831E8A">
        <w:rPr>
          <w:rFonts w:cs="Arial"/>
        </w:rPr>
        <w:t xml:space="preserve">The duty to cooperate was created by the Localism Act 2011. It places a legal duty on local planning </w:t>
      </w:r>
      <w:r w:rsidR="00D33B9A" w:rsidRPr="00831E8A">
        <w:rPr>
          <w:rFonts w:cs="Arial"/>
        </w:rPr>
        <w:t>authority’s</w:t>
      </w:r>
      <w:r w:rsidRPr="00831E8A">
        <w:rPr>
          <w:rFonts w:cs="Arial"/>
        </w:rPr>
        <w:t xml:space="preserve"> county councils in England and public bodies to engage constructively, actively and on an ongoing basis with each other to maximise the effectiveness of local plan preparation relating to strategic cross-boundary matters.</w:t>
      </w:r>
    </w:p>
    <w:p w14:paraId="7956FEE7" w14:textId="77777777" w:rsidR="00026816" w:rsidRDefault="00026816" w:rsidP="005860A3">
      <w:pPr>
        <w:rPr>
          <w:rFonts w:cs="Arial"/>
        </w:rPr>
      </w:pPr>
    </w:p>
    <w:p w14:paraId="44F2F199" w14:textId="7DF7B187" w:rsidR="005860A3" w:rsidRPr="004F54B5" w:rsidRDefault="00393686" w:rsidP="00D33B9A">
      <w:pPr>
        <w:pStyle w:val="ListParagraph"/>
        <w:numPr>
          <w:ilvl w:val="1"/>
          <w:numId w:val="42"/>
        </w:numPr>
        <w:rPr>
          <w:rFonts w:cs="Arial"/>
        </w:rPr>
      </w:pPr>
      <w:r w:rsidRPr="00831E8A">
        <w:rPr>
          <w:rFonts w:cs="Arial"/>
        </w:rPr>
        <w:t xml:space="preserve">It has been agreed that under the statutory “Duty to Cooperate”, the </w:t>
      </w:r>
      <w:r w:rsidR="009E6410" w:rsidRPr="00831E8A">
        <w:rPr>
          <w:rFonts w:cs="Arial"/>
        </w:rPr>
        <w:t xml:space="preserve">neighbouring </w:t>
      </w:r>
      <w:r w:rsidRPr="00831E8A">
        <w:rPr>
          <w:rFonts w:cs="Arial"/>
        </w:rPr>
        <w:t>district councils will assist by providing an apportionment of the 15,000 homes</w:t>
      </w:r>
      <w:r w:rsidRPr="004F54B5">
        <w:rPr>
          <w:rFonts w:cs="Arial"/>
        </w:rPr>
        <w:t xml:space="preserve"> </w:t>
      </w:r>
      <w:r w:rsidR="005860A3" w:rsidRPr="004F54B5">
        <w:rPr>
          <w:rFonts w:cs="Arial"/>
        </w:rPr>
        <w:t>as follows:</w:t>
      </w:r>
    </w:p>
    <w:p w14:paraId="1294F8F4" w14:textId="77777777" w:rsidR="005860A3" w:rsidRPr="008C52A8" w:rsidRDefault="005860A3" w:rsidP="005860A3">
      <w:pPr>
        <w:rPr>
          <w:rFonts w:cs="Arial"/>
          <w:b/>
        </w:rPr>
      </w:pPr>
      <w:r w:rsidRPr="008C52A8">
        <w:rPr>
          <w:rFonts w:cs="Arial"/>
          <w:b/>
        </w:rPr>
        <w:lastRenderedPageBreak/>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401"/>
        <w:gridCol w:w="2401"/>
        <w:gridCol w:w="2237"/>
      </w:tblGrid>
      <w:tr w:rsidR="005860A3" w:rsidRPr="008C52A8" w14:paraId="187818BF" w14:textId="77777777" w:rsidTr="009C1C5E">
        <w:trPr>
          <w:trHeight w:val="510"/>
        </w:trPr>
        <w:tc>
          <w:tcPr>
            <w:tcW w:w="2614" w:type="dxa"/>
            <w:shd w:val="clear" w:color="auto" w:fill="DEEAF6"/>
            <w:vAlign w:val="center"/>
          </w:tcPr>
          <w:p w14:paraId="781F749D" w14:textId="77777777" w:rsidR="005860A3" w:rsidRPr="008C52A8" w:rsidRDefault="005860A3" w:rsidP="009C1C5E">
            <w:pPr>
              <w:rPr>
                <w:rFonts w:cs="Arial"/>
                <w:b/>
              </w:rPr>
            </w:pPr>
            <w:r w:rsidRPr="008C52A8">
              <w:rPr>
                <w:rFonts w:cs="Arial"/>
                <w:b/>
              </w:rPr>
              <w:t>Local Authority</w:t>
            </w:r>
          </w:p>
        </w:tc>
        <w:tc>
          <w:tcPr>
            <w:tcW w:w="2614" w:type="dxa"/>
            <w:shd w:val="clear" w:color="auto" w:fill="DEEAF6"/>
            <w:vAlign w:val="center"/>
          </w:tcPr>
          <w:p w14:paraId="69C9B247" w14:textId="77777777" w:rsidR="005860A3" w:rsidRPr="008C52A8" w:rsidRDefault="005860A3" w:rsidP="009C1C5E">
            <w:pPr>
              <w:jc w:val="center"/>
              <w:rPr>
                <w:rFonts w:cs="Arial"/>
                <w:b/>
              </w:rPr>
            </w:pPr>
            <w:r w:rsidRPr="008C52A8">
              <w:rPr>
                <w:rFonts w:cs="Arial"/>
                <w:b/>
              </w:rPr>
              <w:t>Apportionment of Oxford’s unmet housing need to be delivered in each district as agreed by Growth Board</w:t>
            </w:r>
          </w:p>
        </w:tc>
        <w:tc>
          <w:tcPr>
            <w:tcW w:w="2614" w:type="dxa"/>
            <w:shd w:val="clear" w:color="auto" w:fill="DEEAF6"/>
            <w:vAlign w:val="center"/>
          </w:tcPr>
          <w:p w14:paraId="79C948BF" w14:textId="77777777" w:rsidR="005860A3" w:rsidRPr="008C52A8" w:rsidRDefault="005860A3" w:rsidP="009C1C5E">
            <w:pPr>
              <w:jc w:val="center"/>
              <w:rPr>
                <w:rFonts w:cs="Arial"/>
                <w:b/>
              </w:rPr>
            </w:pPr>
            <w:r w:rsidRPr="008C52A8">
              <w:rPr>
                <w:rFonts w:cs="Arial"/>
                <w:b/>
              </w:rPr>
              <w:t>Apportionment proposed for delivery by district</w:t>
            </w:r>
          </w:p>
        </w:tc>
        <w:tc>
          <w:tcPr>
            <w:tcW w:w="2614" w:type="dxa"/>
            <w:shd w:val="clear" w:color="auto" w:fill="DEEAF6"/>
            <w:vAlign w:val="center"/>
          </w:tcPr>
          <w:p w14:paraId="39F8CA5D" w14:textId="77777777" w:rsidR="005860A3" w:rsidRPr="008C52A8" w:rsidRDefault="005860A3" w:rsidP="009C1C5E">
            <w:pPr>
              <w:jc w:val="center"/>
              <w:rPr>
                <w:rFonts w:cs="Arial"/>
                <w:b/>
              </w:rPr>
            </w:pPr>
            <w:r w:rsidRPr="008C52A8">
              <w:rPr>
                <w:rFonts w:cs="Arial"/>
                <w:b/>
              </w:rPr>
              <w:t>Affordable Housing (Agreed as being 50% of the total)</w:t>
            </w:r>
          </w:p>
        </w:tc>
      </w:tr>
      <w:tr w:rsidR="005860A3" w:rsidRPr="008C52A8" w14:paraId="46BBFBB5" w14:textId="77777777" w:rsidTr="009C1C5E">
        <w:trPr>
          <w:trHeight w:val="510"/>
        </w:trPr>
        <w:tc>
          <w:tcPr>
            <w:tcW w:w="2614" w:type="dxa"/>
            <w:shd w:val="clear" w:color="auto" w:fill="auto"/>
            <w:vAlign w:val="center"/>
          </w:tcPr>
          <w:p w14:paraId="525A0B63" w14:textId="77777777" w:rsidR="005860A3" w:rsidRPr="008C52A8" w:rsidRDefault="005860A3" w:rsidP="009C1C5E">
            <w:pPr>
              <w:rPr>
                <w:rFonts w:cs="Arial"/>
              </w:rPr>
            </w:pPr>
            <w:r w:rsidRPr="008C52A8">
              <w:rPr>
                <w:rFonts w:cs="Arial"/>
              </w:rPr>
              <w:t xml:space="preserve">Oxford City Council </w:t>
            </w:r>
          </w:p>
        </w:tc>
        <w:tc>
          <w:tcPr>
            <w:tcW w:w="2614" w:type="dxa"/>
            <w:shd w:val="clear" w:color="auto" w:fill="auto"/>
            <w:vAlign w:val="center"/>
          </w:tcPr>
          <w:p w14:paraId="6373B10D" w14:textId="77777777" w:rsidR="005860A3" w:rsidRPr="008C52A8" w:rsidRDefault="005860A3" w:rsidP="009C1C5E">
            <w:pPr>
              <w:jc w:val="center"/>
              <w:rPr>
                <w:rFonts w:cs="Arial"/>
              </w:rPr>
            </w:pPr>
            <w:r w:rsidRPr="008C52A8">
              <w:rPr>
                <w:rFonts w:cs="Arial"/>
              </w:rPr>
              <w:t>550</w:t>
            </w:r>
          </w:p>
        </w:tc>
        <w:tc>
          <w:tcPr>
            <w:tcW w:w="2614" w:type="dxa"/>
            <w:shd w:val="clear" w:color="auto" w:fill="auto"/>
            <w:vAlign w:val="center"/>
          </w:tcPr>
          <w:p w14:paraId="685C22A0" w14:textId="77777777" w:rsidR="005860A3" w:rsidRPr="008C52A8" w:rsidRDefault="005860A3" w:rsidP="009C1C5E">
            <w:pPr>
              <w:jc w:val="center"/>
              <w:rPr>
                <w:rFonts w:cs="Arial"/>
              </w:rPr>
            </w:pPr>
            <w:r w:rsidRPr="008C52A8">
              <w:rPr>
                <w:rFonts w:cs="Arial"/>
              </w:rPr>
              <w:t>550</w:t>
            </w:r>
          </w:p>
        </w:tc>
        <w:tc>
          <w:tcPr>
            <w:tcW w:w="2614" w:type="dxa"/>
            <w:shd w:val="clear" w:color="auto" w:fill="auto"/>
            <w:vAlign w:val="center"/>
          </w:tcPr>
          <w:p w14:paraId="31A94B56" w14:textId="77777777" w:rsidR="005860A3" w:rsidRPr="008C52A8" w:rsidRDefault="005860A3" w:rsidP="009C1C5E">
            <w:pPr>
              <w:jc w:val="center"/>
              <w:rPr>
                <w:rFonts w:cs="Arial"/>
              </w:rPr>
            </w:pPr>
            <w:r w:rsidRPr="008C52A8">
              <w:rPr>
                <w:rFonts w:cs="Arial"/>
              </w:rPr>
              <w:t>275</w:t>
            </w:r>
          </w:p>
        </w:tc>
      </w:tr>
      <w:tr w:rsidR="005860A3" w:rsidRPr="008C52A8" w14:paraId="27CD51C9" w14:textId="77777777" w:rsidTr="009C1C5E">
        <w:trPr>
          <w:trHeight w:val="510"/>
        </w:trPr>
        <w:tc>
          <w:tcPr>
            <w:tcW w:w="2614" w:type="dxa"/>
            <w:shd w:val="clear" w:color="auto" w:fill="auto"/>
            <w:vAlign w:val="center"/>
          </w:tcPr>
          <w:p w14:paraId="34B423F3" w14:textId="77777777" w:rsidR="005860A3" w:rsidRPr="008C52A8" w:rsidRDefault="005860A3" w:rsidP="009C1C5E">
            <w:pPr>
              <w:rPr>
                <w:rFonts w:cs="Arial"/>
              </w:rPr>
            </w:pPr>
            <w:r w:rsidRPr="008C52A8">
              <w:rPr>
                <w:rFonts w:cs="Arial"/>
              </w:rPr>
              <w:t>West Oxfordshire District Council</w:t>
            </w:r>
          </w:p>
        </w:tc>
        <w:tc>
          <w:tcPr>
            <w:tcW w:w="2614" w:type="dxa"/>
            <w:shd w:val="clear" w:color="auto" w:fill="auto"/>
            <w:vAlign w:val="center"/>
          </w:tcPr>
          <w:p w14:paraId="7DD3E8E8" w14:textId="77777777" w:rsidR="005860A3" w:rsidRPr="008C52A8" w:rsidRDefault="005860A3" w:rsidP="009C1C5E">
            <w:pPr>
              <w:jc w:val="center"/>
              <w:rPr>
                <w:rFonts w:cs="Arial"/>
              </w:rPr>
            </w:pPr>
            <w:r w:rsidRPr="008C52A8">
              <w:rPr>
                <w:rFonts w:cs="Arial"/>
              </w:rPr>
              <w:t>2,750</w:t>
            </w:r>
          </w:p>
        </w:tc>
        <w:tc>
          <w:tcPr>
            <w:tcW w:w="2614" w:type="dxa"/>
            <w:shd w:val="clear" w:color="auto" w:fill="auto"/>
            <w:vAlign w:val="center"/>
          </w:tcPr>
          <w:p w14:paraId="459AFEFF" w14:textId="77777777" w:rsidR="005860A3" w:rsidRPr="008C52A8" w:rsidRDefault="005860A3" w:rsidP="009C1C5E">
            <w:pPr>
              <w:jc w:val="center"/>
              <w:rPr>
                <w:rFonts w:cs="Arial"/>
              </w:rPr>
            </w:pPr>
            <w:r w:rsidRPr="008C52A8">
              <w:rPr>
                <w:rFonts w:cs="Arial"/>
              </w:rPr>
              <w:t>2,750</w:t>
            </w:r>
          </w:p>
        </w:tc>
        <w:tc>
          <w:tcPr>
            <w:tcW w:w="2614" w:type="dxa"/>
            <w:shd w:val="clear" w:color="auto" w:fill="auto"/>
            <w:vAlign w:val="center"/>
          </w:tcPr>
          <w:p w14:paraId="66355A12" w14:textId="77777777" w:rsidR="005860A3" w:rsidRPr="008C52A8" w:rsidRDefault="005860A3" w:rsidP="009C1C5E">
            <w:pPr>
              <w:jc w:val="center"/>
              <w:rPr>
                <w:rFonts w:cs="Arial"/>
              </w:rPr>
            </w:pPr>
            <w:r w:rsidRPr="008C52A8">
              <w:rPr>
                <w:rFonts w:cs="Arial"/>
              </w:rPr>
              <w:t>1,375</w:t>
            </w:r>
          </w:p>
        </w:tc>
      </w:tr>
      <w:tr w:rsidR="005860A3" w:rsidRPr="008C52A8" w14:paraId="3691A193" w14:textId="77777777" w:rsidTr="009C1C5E">
        <w:trPr>
          <w:trHeight w:val="510"/>
        </w:trPr>
        <w:tc>
          <w:tcPr>
            <w:tcW w:w="2614" w:type="dxa"/>
            <w:shd w:val="clear" w:color="auto" w:fill="auto"/>
            <w:vAlign w:val="center"/>
          </w:tcPr>
          <w:p w14:paraId="0AC75F6B" w14:textId="77777777" w:rsidR="005860A3" w:rsidRPr="008C52A8" w:rsidRDefault="005860A3" w:rsidP="009C1C5E">
            <w:pPr>
              <w:rPr>
                <w:rFonts w:cs="Arial"/>
              </w:rPr>
            </w:pPr>
            <w:r w:rsidRPr="008C52A8">
              <w:rPr>
                <w:rFonts w:cs="Arial"/>
              </w:rPr>
              <w:t>Vale of White Horse District Council</w:t>
            </w:r>
          </w:p>
        </w:tc>
        <w:tc>
          <w:tcPr>
            <w:tcW w:w="2614" w:type="dxa"/>
            <w:shd w:val="clear" w:color="auto" w:fill="auto"/>
            <w:vAlign w:val="center"/>
          </w:tcPr>
          <w:p w14:paraId="1DA445B8" w14:textId="77777777" w:rsidR="005860A3" w:rsidRPr="008C52A8" w:rsidRDefault="005860A3" w:rsidP="009C1C5E">
            <w:pPr>
              <w:jc w:val="center"/>
              <w:rPr>
                <w:rFonts w:cs="Arial"/>
              </w:rPr>
            </w:pPr>
            <w:r w:rsidRPr="008C52A8">
              <w:rPr>
                <w:rFonts w:cs="Arial"/>
              </w:rPr>
              <w:t>2,200</w:t>
            </w:r>
          </w:p>
        </w:tc>
        <w:tc>
          <w:tcPr>
            <w:tcW w:w="2614" w:type="dxa"/>
            <w:shd w:val="clear" w:color="auto" w:fill="auto"/>
            <w:vAlign w:val="center"/>
          </w:tcPr>
          <w:p w14:paraId="42136003" w14:textId="77777777" w:rsidR="005860A3" w:rsidRPr="008C52A8" w:rsidRDefault="005860A3" w:rsidP="009C1C5E">
            <w:pPr>
              <w:jc w:val="center"/>
              <w:rPr>
                <w:rFonts w:cs="Arial"/>
              </w:rPr>
            </w:pPr>
            <w:r w:rsidRPr="008C52A8">
              <w:rPr>
                <w:rFonts w:cs="Arial"/>
              </w:rPr>
              <w:t>2,200</w:t>
            </w:r>
          </w:p>
        </w:tc>
        <w:tc>
          <w:tcPr>
            <w:tcW w:w="2614" w:type="dxa"/>
            <w:shd w:val="clear" w:color="auto" w:fill="auto"/>
            <w:vAlign w:val="center"/>
          </w:tcPr>
          <w:p w14:paraId="7C572775" w14:textId="77777777" w:rsidR="005860A3" w:rsidRPr="008C52A8" w:rsidRDefault="005860A3" w:rsidP="009C1C5E">
            <w:pPr>
              <w:jc w:val="center"/>
              <w:rPr>
                <w:rFonts w:cs="Arial"/>
              </w:rPr>
            </w:pPr>
            <w:r w:rsidRPr="008C52A8">
              <w:rPr>
                <w:rFonts w:cs="Arial"/>
              </w:rPr>
              <w:t>1,100</w:t>
            </w:r>
          </w:p>
        </w:tc>
      </w:tr>
      <w:tr w:rsidR="005860A3" w:rsidRPr="008C52A8" w14:paraId="1233D796" w14:textId="77777777" w:rsidTr="009C1C5E">
        <w:trPr>
          <w:trHeight w:val="510"/>
        </w:trPr>
        <w:tc>
          <w:tcPr>
            <w:tcW w:w="2614" w:type="dxa"/>
            <w:shd w:val="clear" w:color="auto" w:fill="auto"/>
            <w:vAlign w:val="center"/>
          </w:tcPr>
          <w:p w14:paraId="0BF057CD" w14:textId="77777777" w:rsidR="005860A3" w:rsidRPr="008C52A8" w:rsidRDefault="005860A3" w:rsidP="009C1C5E">
            <w:pPr>
              <w:rPr>
                <w:rFonts w:cs="Arial"/>
              </w:rPr>
            </w:pPr>
            <w:r w:rsidRPr="008C52A8">
              <w:rPr>
                <w:rFonts w:cs="Arial"/>
              </w:rPr>
              <w:t xml:space="preserve">Cherwell District Council </w:t>
            </w:r>
          </w:p>
        </w:tc>
        <w:tc>
          <w:tcPr>
            <w:tcW w:w="2614" w:type="dxa"/>
            <w:shd w:val="clear" w:color="auto" w:fill="auto"/>
            <w:vAlign w:val="center"/>
          </w:tcPr>
          <w:p w14:paraId="1E650D52" w14:textId="77777777" w:rsidR="005860A3" w:rsidRPr="008C52A8" w:rsidRDefault="005860A3" w:rsidP="009C1C5E">
            <w:pPr>
              <w:jc w:val="center"/>
              <w:rPr>
                <w:rFonts w:cs="Arial"/>
              </w:rPr>
            </w:pPr>
            <w:r w:rsidRPr="008C52A8">
              <w:rPr>
                <w:rFonts w:cs="Arial"/>
              </w:rPr>
              <w:t>4,400</w:t>
            </w:r>
          </w:p>
        </w:tc>
        <w:tc>
          <w:tcPr>
            <w:tcW w:w="2614" w:type="dxa"/>
            <w:shd w:val="clear" w:color="auto" w:fill="auto"/>
            <w:vAlign w:val="center"/>
          </w:tcPr>
          <w:p w14:paraId="25BCBEF5" w14:textId="77777777" w:rsidR="005860A3" w:rsidRPr="008C52A8" w:rsidRDefault="005860A3" w:rsidP="009C1C5E">
            <w:pPr>
              <w:jc w:val="center"/>
              <w:rPr>
                <w:rFonts w:cs="Arial"/>
              </w:rPr>
            </w:pPr>
            <w:r w:rsidRPr="008C52A8">
              <w:rPr>
                <w:rFonts w:cs="Arial"/>
              </w:rPr>
              <w:t>4,400</w:t>
            </w:r>
          </w:p>
        </w:tc>
        <w:tc>
          <w:tcPr>
            <w:tcW w:w="2614" w:type="dxa"/>
            <w:shd w:val="clear" w:color="auto" w:fill="auto"/>
            <w:vAlign w:val="center"/>
          </w:tcPr>
          <w:p w14:paraId="54F6915F" w14:textId="77777777" w:rsidR="005860A3" w:rsidRPr="008C52A8" w:rsidRDefault="005860A3" w:rsidP="009C1C5E">
            <w:pPr>
              <w:jc w:val="center"/>
              <w:rPr>
                <w:rFonts w:cs="Arial"/>
              </w:rPr>
            </w:pPr>
            <w:r w:rsidRPr="008C52A8">
              <w:rPr>
                <w:rFonts w:cs="Arial"/>
              </w:rPr>
              <w:t>2,200</w:t>
            </w:r>
          </w:p>
        </w:tc>
      </w:tr>
      <w:tr w:rsidR="005860A3" w:rsidRPr="008C52A8" w14:paraId="073EE5BE" w14:textId="77777777" w:rsidTr="009C1C5E">
        <w:trPr>
          <w:trHeight w:val="510"/>
        </w:trPr>
        <w:tc>
          <w:tcPr>
            <w:tcW w:w="2614" w:type="dxa"/>
            <w:shd w:val="clear" w:color="auto" w:fill="auto"/>
            <w:vAlign w:val="center"/>
          </w:tcPr>
          <w:p w14:paraId="69E24272" w14:textId="77777777" w:rsidR="005860A3" w:rsidRPr="008C52A8" w:rsidRDefault="005860A3" w:rsidP="009C1C5E">
            <w:pPr>
              <w:rPr>
                <w:rFonts w:cs="Arial"/>
              </w:rPr>
            </w:pPr>
            <w:r w:rsidRPr="008C52A8">
              <w:rPr>
                <w:rFonts w:cs="Arial"/>
              </w:rPr>
              <w:t>South Oxfordshire District Council</w:t>
            </w:r>
          </w:p>
        </w:tc>
        <w:tc>
          <w:tcPr>
            <w:tcW w:w="2614" w:type="dxa"/>
            <w:shd w:val="clear" w:color="auto" w:fill="auto"/>
            <w:vAlign w:val="center"/>
          </w:tcPr>
          <w:p w14:paraId="281C0F05" w14:textId="77777777" w:rsidR="005860A3" w:rsidRPr="008C52A8" w:rsidRDefault="005860A3" w:rsidP="009C1C5E">
            <w:pPr>
              <w:jc w:val="center"/>
              <w:rPr>
                <w:rFonts w:cs="Arial"/>
              </w:rPr>
            </w:pPr>
            <w:r w:rsidRPr="008C52A8">
              <w:rPr>
                <w:rFonts w:cs="Arial"/>
              </w:rPr>
              <w:t>4,950</w:t>
            </w:r>
          </w:p>
        </w:tc>
        <w:tc>
          <w:tcPr>
            <w:tcW w:w="2614" w:type="dxa"/>
            <w:shd w:val="clear" w:color="auto" w:fill="auto"/>
            <w:vAlign w:val="center"/>
          </w:tcPr>
          <w:p w14:paraId="5778F31B" w14:textId="6A846E67" w:rsidR="005860A3" w:rsidRPr="008C52A8" w:rsidRDefault="00380767" w:rsidP="009C1C5E">
            <w:pPr>
              <w:jc w:val="center"/>
              <w:rPr>
                <w:rFonts w:cs="Arial"/>
              </w:rPr>
            </w:pPr>
            <w:r>
              <w:rPr>
                <w:rFonts w:cs="Arial"/>
              </w:rPr>
              <w:t>4,950</w:t>
            </w:r>
          </w:p>
        </w:tc>
        <w:tc>
          <w:tcPr>
            <w:tcW w:w="2614" w:type="dxa"/>
            <w:shd w:val="clear" w:color="auto" w:fill="auto"/>
            <w:vAlign w:val="center"/>
          </w:tcPr>
          <w:p w14:paraId="37C47811" w14:textId="5C271EA0" w:rsidR="005860A3" w:rsidRPr="00E547CF" w:rsidRDefault="005860A3" w:rsidP="00E547CF">
            <w:pPr>
              <w:jc w:val="center"/>
              <w:rPr>
                <w:rFonts w:cs="Arial"/>
              </w:rPr>
            </w:pPr>
            <w:r w:rsidRPr="00E547CF">
              <w:rPr>
                <w:rFonts w:cs="Arial"/>
              </w:rPr>
              <w:t xml:space="preserve">2,475 </w:t>
            </w:r>
          </w:p>
        </w:tc>
      </w:tr>
      <w:tr w:rsidR="005860A3" w:rsidRPr="008C52A8" w14:paraId="712DE497" w14:textId="77777777" w:rsidTr="009C1C5E">
        <w:trPr>
          <w:trHeight w:val="510"/>
        </w:trPr>
        <w:tc>
          <w:tcPr>
            <w:tcW w:w="2614" w:type="dxa"/>
            <w:shd w:val="clear" w:color="auto" w:fill="auto"/>
            <w:vAlign w:val="center"/>
          </w:tcPr>
          <w:p w14:paraId="13005B08" w14:textId="77777777" w:rsidR="005860A3" w:rsidRPr="008C52A8" w:rsidRDefault="005860A3" w:rsidP="009C1C5E">
            <w:pPr>
              <w:rPr>
                <w:rFonts w:cs="Arial"/>
                <w:b/>
              </w:rPr>
            </w:pPr>
            <w:r w:rsidRPr="008C52A8">
              <w:rPr>
                <w:rFonts w:cs="Arial"/>
                <w:b/>
              </w:rPr>
              <w:t>Total</w:t>
            </w:r>
          </w:p>
        </w:tc>
        <w:tc>
          <w:tcPr>
            <w:tcW w:w="2614" w:type="dxa"/>
            <w:shd w:val="clear" w:color="auto" w:fill="auto"/>
            <w:vAlign w:val="center"/>
          </w:tcPr>
          <w:p w14:paraId="0FB0ED71" w14:textId="77777777" w:rsidR="005860A3" w:rsidRPr="008C52A8" w:rsidRDefault="005860A3" w:rsidP="009C1C5E">
            <w:pPr>
              <w:jc w:val="center"/>
              <w:rPr>
                <w:rFonts w:cs="Arial"/>
                <w:b/>
              </w:rPr>
            </w:pPr>
            <w:r w:rsidRPr="008C52A8">
              <w:rPr>
                <w:rFonts w:cs="Arial"/>
                <w:b/>
              </w:rPr>
              <w:t>14,850</w:t>
            </w:r>
          </w:p>
        </w:tc>
        <w:tc>
          <w:tcPr>
            <w:tcW w:w="2614" w:type="dxa"/>
            <w:shd w:val="clear" w:color="auto" w:fill="auto"/>
            <w:vAlign w:val="center"/>
          </w:tcPr>
          <w:p w14:paraId="1191CFFC" w14:textId="254BC023" w:rsidR="005860A3" w:rsidRPr="008C52A8" w:rsidRDefault="00380767" w:rsidP="009C1C5E">
            <w:pPr>
              <w:jc w:val="center"/>
              <w:rPr>
                <w:rFonts w:cs="Arial"/>
                <w:b/>
              </w:rPr>
            </w:pPr>
            <w:r>
              <w:rPr>
                <w:rFonts w:cs="Arial"/>
                <w:b/>
              </w:rPr>
              <w:t>14,850</w:t>
            </w:r>
          </w:p>
        </w:tc>
        <w:tc>
          <w:tcPr>
            <w:tcW w:w="2614" w:type="dxa"/>
            <w:shd w:val="clear" w:color="auto" w:fill="auto"/>
            <w:vAlign w:val="center"/>
          </w:tcPr>
          <w:p w14:paraId="5E836105" w14:textId="313BBF50" w:rsidR="005860A3" w:rsidRPr="008C52A8" w:rsidRDefault="005860A3" w:rsidP="00E547CF">
            <w:pPr>
              <w:jc w:val="center"/>
              <w:rPr>
                <w:rFonts w:cs="Arial"/>
                <w:b/>
              </w:rPr>
            </w:pPr>
            <w:r w:rsidRPr="008C52A8">
              <w:rPr>
                <w:rFonts w:cs="Arial"/>
                <w:b/>
              </w:rPr>
              <w:t xml:space="preserve">7,425 </w:t>
            </w:r>
          </w:p>
        </w:tc>
      </w:tr>
    </w:tbl>
    <w:p w14:paraId="08A764A7" w14:textId="77777777" w:rsidR="005860A3" w:rsidRDefault="005860A3" w:rsidP="005860A3">
      <w:pPr>
        <w:rPr>
          <w:rFonts w:cs="Arial"/>
        </w:rPr>
      </w:pPr>
    </w:p>
    <w:p w14:paraId="540F8EEF" w14:textId="73C33D6D" w:rsidR="004318F0" w:rsidRPr="008C52A8" w:rsidRDefault="004318F0" w:rsidP="005860A3">
      <w:pPr>
        <w:rPr>
          <w:rFonts w:cs="Arial"/>
        </w:rPr>
      </w:pPr>
      <w:r>
        <w:rPr>
          <w:rFonts w:cs="Arial"/>
        </w:rPr>
        <w:t xml:space="preserve">Following the allocation of the </w:t>
      </w:r>
      <w:r w:rsidR="00393686">
        <w:rPr>
          <w:rFonts w:cs="Arial"/>
        </w:rPr>
        <w:t xml:space="preserve">unmet </w:t>
      </w:r>
      <w:r>
        <w:rPr>
          <w:rFonts w:cs="Arial"/>
        </w:rPr>
        <w:t xml:space="preserve">housing need </w:t>
      </w:r>
      <w:r w:rsidR="004F0666">
        <w:rPr>
          <w:rFonts w:cs="Arial"/>
        </w:rPr>
        <w:t>to each locality, o</w:t>
      </w:r>
      <w:r w:rsidR="00F7314E">
        <w:rPr>
          <w:rFonts w:cs="Arial"/>
        </w:rPr>
        <w:t>fficers</w:t>
      </w:r>
      <w:r>
        <w:rPr>
          <w:rFonts w:cs="Arial"/>
        </w:rPr>
        <w:t xml:space="preserve"> have worked to agree an allocation and monitoring procedure </w:t>
      </w:r>
      <w:r w:rsidR="00F7314E">
        <w:rPr>
          <w:rFonts w:cs="Arial"/>
        </w:rPr>
        <w:t>with each local partner.</w:t>
      </w:r>
    </w:p>
    <w:p w14:paraId="0DAFF299" w14:textId="77777777" w:rsidR="005860A3" w:rsidRPr="008C52A8" w:rsidRDefault="005860A3" w:rsidP="005860A3">
      <w:pPr>
        <w:rPr>
          <w:rFonts w:cs="Arial"/>
          <w:b/>
          <w:u w:val="single"/>
        </w:rPr>
      </w:pPr>
    </w:p>
    <w:p w14:paraId="31FAA07D" w14:textId="16A8D86E" w:rsidR="005860A3" w:rsidRPr="00D33B9A" w:rsidRDefault="005860A3" w:rsidP="00D33B9A">
      <w:pPr>
        <w:pStyle w:val="ListParagraph"/>
        <w:numPr>
          <w:ilvl w:val="0"/>
          <w:numId w:val="49"/>
        </w:numPr>
        <w:rPr>
          <w:rFonts w:cs="Arial"/>
          <w:b/>
          <w:u w:val="single"/>
        </w:rPr>
      </w:pPr>
      <w:r w:rsidRPr="00D33B9A">
        <w:rPr>
          <w:rFonts w:cs="Arial"/>
          <w:b/>
          <w:u w:val="single"/>
        </w:rPr>
        <w:t>Housing Needs &amp; Allocations Approaches</w:t>
      </w:r>
    </w:p>
    <w:p w14:paraId="76EBAB21" w14:textId="77777777" w:rsidR="005860A3" w:rsidRPr="008C52A8" w:rsidRDefault="005860A3" w:rsidP="005860A3">
      <w:pPr>
        <w:rPr>
          <w:rFonts w:cs="Arial"/>
          <w:b/>
        </w:rPr>
      </w:pPr>
    </w:p>
    <w:p w14:paraId="4A111B61" w14:textId="3A7A67ED" w:rsidR="005860A3" w:rsidRPr="00D33B9A" w:rsidRDefault="00831E8A" w:rsidP="00D33B9A">
      <w:pPr>
        <w:ind w:left="360"/>
        <w:rPr>
          <w:rFonts w:cs="Arial"/>
        </w:rPr>
      </w:pPr>
      <w:r>
        <w:rPr>
          <w:rFonts w:cs="Arial"/>
        </w:rPr>
        <w:t xml:space="preserve">2.1 </w:t>
      </w:r>
      <w:r w:rsidR="005860A3" w:rsidRPr="00831E8A">
        <w:rPr>
          <w:rFonts w:cs="Arial"/>
        </w:rPr>
        <w:t xml:space="preserve">Throughout the </w:t>
      </w:r>
      <w:r w:rsidR="00277050" w:rsidRPr="00831E8A">
        <w:rPr>
          <w:rFonts w:cs="Arial"/>
        </w:rPr>
        <w:t xml:space="preserve">Local Plan </w:t>
      </w:r>
      <w:r w:rsidR="005860A3" w:rsidRPr="00831E8A">
        <w:rPr>
          <w:rFonts w:cs="Arial"/>
        </w:rPr>
        <w:t>planning processes</w:t>
      </w:r>
      <w:r w:rsidR="00277050" w:rsidRPr="00831E8A">
        <w:rPr>
          <w:rFonts w:cs="Arial"/>
        </w:rPr>
        <w:t xml:space="preserve"> for each local authority</w:t>
      </w:r>
      <w:r w:rsidR="005860A3" w:rsidRPr="00831E8A">
        <w:rPr>
          <w:rFonts w:cs="Arial"/>
        </w:rPr>
        <w:t xml:space="preserve">, it has been recognised that each </w:t>
      </w:r>
      <w:r w:rsidR="00A14232" w:rsidRPr="004F54B5">
        <w:rPr>
          <w:rFonts w:cs="Arial"/>
        </w:rPr>
        <w:t xml:space="preserve">local </w:t>
      </w:r>
      <w:r w:rsidR="005860A3" w:rsidRPr="004F54B5">
        <w:rPr>
          <w:rFonts w:cs="Arial"/>
        </w:rPr>
        <w:t xml:space="preserve">authority would need to </w:t>
      </w:r>
      <w:r w:rsidR="00A14232" w:rsidRPr="004F54B5">
        <w:rPr>
          <w:rFonts w:cs="Arial"/>
        </w:rPr>
        <w:t xml:space="preserve">establish </w:t>
      </w:r>
      <w:r w:rsidR="005860A3" w:rsidRPr="004F54B5">
        <w:rPr>
          <w:rFonts w:cs="Arial"/>
        </w:rPr>
        <w:t>a</w:t>
      </w:r>
      <w:r w:rsidR="00A14232" w:rsidRPr="004F54B5">
        <w:rPr>
          <w:rFonts w:cs="Arial"/>
        </w:rPr>
        <w:t xml:space="preserve"> detailed arrangement for </w:t>
      </w:r>
      <w:r w:rsidR="005860A3" w:rsidRPr="004F54B5">
        <w:rPr>
          <w:rFonts w:cs="Arial"/>
        </w:rPr>
        <w:t xml:space="preserve">meeting the unmet </w:t>
      </w:r>
      <w:r w:rsidR="00A14232" w:rsidRPr="004F54B5">
        <w:rPr>
          <w:rFonts w:cs="Arial"/>
        </w:rPr>
        <w:t xml:space="preserve">housing </w:t>
      </w:r>
      <w:r w:rsidR="005860A3" w:rsidRPr="004F54B5">
        <w:rPr>
          <w:rFonts w:cs="Arial"/>
        </w:rPr>
        <w:t>need, and the mechanisms to be used to deliver the expected outcomes, including the loca</w:t>
      </w:r>
      <w:r w:rsidR="00582988" w:rsidRPr="00D33B9A">
        <w:rPr>
          <w:rFonts w:cs="Arial"/>
        </w:rPr>
        <w:t xml:space="preserve">tion, tenure mix, unit size, </w:t>
      </w:r>
      <w:r w:rsidR="00F55BE0" w:rsidRPr="00D33B9A">
        <w:rPr>
          <w:rFonts w:cs="Arial"/>
        </w:rPr>
        <w:t>and eligibility</w:t>
      </w:r>
      <w:r w:rsidR="005860A3" w:rsidRPr="00D33B9A">
        <w:rPr>
          <w:rFonts w:cs="Arial"/>
        </w:rPr>
        <w:t xml:space="preserve"> </w:t>
      </w:r>
      <w:r w:rsidR="00582988" w:rsidRPr="00D33B9A">
        <w:rPr>
          <w:rFonts w:cs="Arial"/>
        </w:rPr>
        <w:t xml:space="preserve">and allocation </w:t>
      </w:r>
      <w:r w:rsidR="005860A3" w:rsidRPr="00D33B9A">
        <w:rPr>
          <w:rFonts w:cs="Arial"/>
        </w:rPr>
        <w:t>criteria.</w:t>
      </w:r>
      <w:r w:rsidR="00277050" w:rsidRPr="00D33B9A">
        <w:rPr>
          <w:rFonts w:cs="Arial"/>
        </w:rPr>
        <w:t xml:space="preserve"> </w:t>
      </w:r>
    </w:p>
    <w:p w14:paraId="0D5444F6" w14:textId="77777777" w:rsidR="005860A3" w:rsidRPr="008C52A8" w:rsidRDefault="005860A3" w:rsidP="00D33B9A">
      <w:pPr>
        <w:ind w:firstLine="360"/>
        <w:rPr>
          <w:rFonts w:cs="Arial"/>
        </w:rPr>
      </w:pPr>
      <w:r w:rsidRPr="008C52A8">
        <w:rPr>
          <w:rFonts w:cs="Arial"/>
        </w:rPr>
        <w:t>The broad principles for this work have been:</w:t>
      </w:r>
    </w:p>
    <w:p w14:paraId="74E65A58" w14:textId="77777777" w:rsidR="005860A3" w:rsidRPr="008C52A8" w:rsidRDefault="005860A3" w:rsidP="005860A3">
      <w:pPr>
        <w:rPr>
          <w:rFonts w:cs="Arial"/>
        </w:rPr>
      </w:pPr>
    </w:p>
    <w:p w14:paraId="4424DF06" w14:textId="7AE78EEB" w:rsidR="005860A3" w:rsidRPr="008C52A8" w:rsidRDefault="005860A3" w:rsidP="005860A3">
      <w:pPr>
        <w:numPr>
          <w:ilvl w:val="0"/>
          <w:numId w:val="34"/>
        </w:numPr>
        <w:spacing w:after="0"/>
        <w:rPr>
          <w:rFonts w:cs="Arial"/>
        </w:rPr>
      </w:pPr>
      <w:r w:rsidRPr="008C52A8">
        <w:rPr>
          <w:rFonts w:cs="Arial"/>
        </w:rPr>
        <w:t>To identify sites to deliver the agreed number of homes as soon as possible, and within a ten-year period (2021-2031) recognising the strategic nature of much of this development</w:t>
      </w:r>
      <w:r w:rsidR="00A14232">
        <w:rPr>
          <w:rFonts w:cs="Arial"/>
        </w:rPr>
        <w:t>;</w:t>
      </w:r>
    </w:p>
    <w:p w14:paraId="558CC929" w14:textId="07E00476" w:rsidR="005860A3" w:rsidRPr="008C52A8" w:rsidRDefault="005860A3" w:rsidP="005860A3">
      <w:pPr>
        <w:numPr>
          <w:ilvl w:val="0"/>
          <w:numId w:val="34"/>
        </w:numPr>
        <w:spacing w:after="0"/>
        <w:rPr>
          <w:rFonts w:cs="Arial"/>
        </w:rPr>
      </w:pPr>
      <w:r w:rsidRPr="008C52A8">
        <w:rPr>
          <w:rFonts w:cs="Arial"/>
        </w:rPr>
        <w:t xml:space="preserve">To ensure that </w:t>
      </w:r>
      <w:r w:rsidR="00A14232">
        <w:rPr>
          <w:rFonts w:cs="Arial"/>
        </w:rPr>
        <w:t>any</w:t>
      </w:r>
      <w:r w:rsidR="00A14232" w:rsidRPr="008C52A8">
        <w:rPr>
          <w:rFonts w:cs="Arial"/>
        </w:rPr>
        <w:t xml:space="preserve"> </w:t>
      </w:r>
      <w:r w:rsidRPr="008C52A8">
        <w:rPr>
          <w:rFonts w:cs="Arial"/>
        </w:rPr>
        <w:t>sites</w:t>
      </w:r>
      <w:r w:rsidR="00A14232">
        <w:rPr>
          <w:rFonts w:cs="Arial"/>
        </w:rPr>
        <w:t xml:space="preserve"> identified</w:t>
      </w:r>
      <w:r w:rsidRPr="008C52A8">
        <w:rPr>
          <w:rFonts w:cs="Arial"/>
        </w:rPr>
        <w:t xml:space="preserve"> have a strong spatial relationship with Oxford, with effective links using regular and affordable public transport along existing routes, or with planned infrastructure improvements to facilitate this</w:t>
      </w:r>
      <w:r w:rsidR="00A14232">
        <w:rPr>
          <w:rFonts w:cs="Arial"/>
        </w:rPr>
        <w:t>;</w:t>
      </w:r>
    </w:p>
    <w:p w14:paraId="150E1DE3" w14:textId="42538A65" w:rsidR="005860A3" w:rsidRPr="008C52A8" w:rsidRDefault="005860A3" w:rsidP="005860A3">
      <w:pPr>
        <w:pStyle w:val="ListParagraph"/>
        <w:numPr>
          <w:ilvl w:val="0"/>
          <w:numId w:val="34"/>
        </w:numPr>
        <w:tabs>
          <w:tab w:val="clear" w:pos="426"/>
        </w:tabs>
        <w:spacing w:after="200" w:line="276" w:lineRule="auto"/>
        <w:contextualSpacing/>
        <w:rPr>
          <w:rFonts w:cs="Arial"/>
        </w:rPr>
      </w:pPr>
      <w:r w:rsidRPr="008C52A8">
        <w:rPr>
          <w:rFonts w:cs="Arial"/>
        </w:rPr>
        <w:t>That a consistent approach towards affordable housing in relation to the unmet housing needs of Oxford would be beneficial, including the Oxford Local Plan requirement for 50% affordable housing on housing schemes</w:t>
      </w:r>
      <w:r w:rsidR="00A14232">
        <w:rPr>
          <w:rFonts w:cs="Arial"/>
        </w:rPr>
        <w:t>;</w:t>
      </w:r>
    </w:p>
    <w:p w14:paraId="599D47D5" w14:textId="19F1152B" w:rsidR="005860A3" w:rsidRPr="008C52A8" w:rsidRDefault="005860A3" w:rsidP="005860A3">
      <w:pPr>
        <w:pStyle w:val="ListParagraph"/>
        <w:numPr>
          <w:ilvl w:val="0"/>
          <w:numId w:val="34"/>
        </w:numPr>
        <w:tabs>
          <w:tab w:val="clear" w:pos="426"/>
        </w:tabs>
        <w:spacing w:after="200" w:line="276" w:lineRule="auto"/>
        <w:contextualSpacing/>
        <w:rPr>
          <w:rFonts w:cs="Arial"/>
        </w:rPr>
      </w:pPr>
      <w:r w:rsidRPr="008C52A8">
        <w:rPr>
          <w:rFonts w:cs="Arial"/>
        </w:rPr>
        <w:lastRenderedPageBreak/>
        <w:t>To ensure that housing needs are best met in terms of the mix of homes by type, size and tenure, and that these are as affordable as can be viably achieved</w:t>
      </w:r>
      <w:r w:rsidR="00A14232">
        <w:rPr>
          <w:rFonts w:cs="Arial"/>
        </w:rPr>
        <w:t>;</w:t>
      </w:r>
    </w:p>
    <w:p w14:paraId="01D9A354" w14:textId="5FAEE221" w:rsidR="005860A3" w:rsidRPr="008C52A8" w:rsidRDefault="005860A3" w:rsidP="005860A3">
      <w:pPr>
        <w:pStyle w:val="ListParagraph"/>
        <w:numPr>
          <w:ilvl w:val="0"/>
          <w:numId w:val="34"/>
        </w:numPr>
        <w:tabs>
          <w:tab w:val="clear" w:pos="426"/>
        </w:tabs>
        <w:spacing w:after="200" w:line="276" w:lineRule="auto"/>
        <w:contextualSpacing/>
        <w:rPr>
          <w:rFonts w:cs="Arial"/>
        </w:rPr>
      </w:pPr>
      <w:r w:rsidRPr="008C52A8">
        <w:rPr>
          <w:rFonts w:cs="Arial"/>
        </w:rPr>
        <w:t>That access to these homes is as straightforward as possible through clear and transparent ‘customer journeys’ through the housing application and allocation processes</w:t>
      </w:r>
      <w:r w:rsidR="000021BF">
        <w:rPr>
          <w:rFonts w:cs="Arial"/>
        </w:rPr>
        <w:t>; and</w:t>
      </w:r>
    </w:p>
    <w:p w14:paraId="7627D914" w14:textId="5B14C967" w:rsidR="004F54B5" w:rsidRPr="004F54B5" w:rsidRDefault="005860A3" w:rsidP="004F54B5">
      <w:pPr>
        <w:pStyle w:val="ListParagraph"/>
        <w:numPr>
          <w:ilvl w:val="0"/>
          <w:numId w:val="34"/>
        </w:numPr>
        <w:tabs>
          <w:tab w:val="clear" w:pos="426"/>
        </w:tabs>
        <w:spacing w:after="200" w:line="276" w:lineRule="auto"/>
        <w:contextualSpacing/>
        <w:rPr>
          <w:rFonts w:cs="Arial"/>
        </w:rPr>
      </w:pPr>
      <w:r w:rsidRPr="008C52A8">
        <w:rPr>
          <w:rFonts w:cs="Arial"/>
        </w:rPr>
        <w:t xml:space="preserve">That </w:t>
      </w:r>
      <w:r w:rsidR="000021BF">
        <w:rPr>
          <w:rFonts w:cs="Arial"/>
        </w:rPr>
        <w:t>each of the</w:t>
      </w:r>
      <w:r w:rsidR="000021BF" w:rsidRPr="008C52A8">
        <w:rPr>
          <w:rFonts w:cs="Arial"/>
        </w:rPr>
        <w:t xml:space="preserve"> </w:t>
      </w:r>
      <w:r w:rsidR="000021BF">
        <w:rPr>
          <w:rFonts w:cs="Arial"/>
        </w:rPr>
        <w:t>c</w:t>
      </w:r>
      <w:r w:rsidRPr="008C52A8">
        <w:rPr>
          <w:rFonts w:cs="Arial"/>
        </w:rPr>
        <w:t>ouncils have established policies and processes to ensure that th</w:t>
      </w:r>
      <w:r w:rsidR="000021BF">
        <w:rPr>
          <w:rFonts w:cs="Arial"/>
        </w:rPr>
        <w:t>e</w:t>
      </w:r>
      <w:r w:rsidRPr="008C52A8">
        <w:rPr>
          <w:rFonts w:cs="Arial"/>
        </w:rPr>
        <w:t xml:space="preserve"> process is administered in a fair and open manner, with effective governance, and the opportunity for review and improvement in order to achieve the aims that are set out</w:t>
      </w:r>
      <w:r w:rsidR="00AE1E29">
        <w:rPr>
          <w:rFonts w:cs="Arial"/>
        </w:rPr>
        <w:t xml:space="preserve"> in the Duty to Cooperate.</w:t>
      </w:r>
    </w:p>
    <w:p w14:paraId="48855222" w14:textId="07C25ED6" w:rsidR="007D431F" w:rsidRDefault="004F54B5" w:rsidP="002B01B1">
      <w:pPr>
        <w:ind w:left="360"/>
        <w:rPr>
          <w:rFonts w:cs="Arial"/>
        </w:rPr>
      </w:pPr>
      <w:r>
        <w:rPr>
          <w:rFonts w:cs="Arial"/>
        </w:rPr>
        <w:t xml:space="preserve">2.2 </w:t>
      </w:r>
      <w:r w:rsidR="00917C67" w:rsidRPr="004F54B5">
        <w:rPr>
          <w:rFonts w:cs="Arial"/>
        </w:rPr>
        <w:t>The</w:t>
      </w:r>
      <w:r w:rsidR="000021BF" w:rsidRPr="004F54B5">
        <w:rPr>
          <w:rFonts w:cs="Arial"/>
        </w:rPr>
        <w:t>se</w:t>
      </w:r>
      <w:r w:rsidR="00917C67" w:rsidRPr="004F54B5">
        <w:rPr>
          <w:rFonts w:cs="Arial"/>
        </w:rPr>
        <w:t xml:space="preserve"> proposed approaches agre</w:t>
      </w:r>
      <w:r w:rsidR="00133A8A" w:rsidRPr="004F54B5">
        <w:rPr>
          <w:rFonts w:cs="Arial"/>
        </w:rPr>
        <w:t xml:space="preserve">ed with neighbouring </w:t>
      </w:r>
      <w:r w:rsidR="000021BF" w:rsidRPr="004F54B5">
        <w:rPr>
          <w:rFonts w:cs="Arial"/>
        </w:rPr>
        <w:t>d</w:t>
      </w:r>
      <w:r w:rsidR="00133A8A" w:rsidRPr="004F54B5">
        <w:rPr>
          <w:rFonts w:cs="Arial"/>
        </w:rPr>
        <w:t>istrict</w:t>
      </w:r>
      <w:r w:rsidR="000021BF" w:rsidRPr="004F54B5">
        <w:rPr>
          <w:rFonts w:cs="Arial"/>
        </w:rPr>
        <w:t xml:space="preserve"> council</w:t>
      </w:r>
      <w:r w:rsidR="00026816" w:rsidRPr="004F54B5">
        <w:rPr>
          <w:rFonts w:cs="Arial"/>
        </w:rPr>
        <w:t>s</w:t>
      </w:r>
      <w:r w:rsidR="00133A8A" w:rsidRPr="004F54B5">
        <w:rPr>
          <w:rFonts w:cs="Arial"/>
        </w:rPr>
        <w:t xml:space="preserve"> relate to </w:t>
      </w:r>
      <w:r w:rsidR="00917C67" w:rsidRPr="004F54B5">
        <w:rPr>
          <w:rFonts w:cs="Arial"/>
        </w:rPr>
        <w:t>affordable rented homes only. Shared Ownership and other low cost home ownership initiative</w:t>
      </w:r>
      <w:r w:rsidR="000021BF" w:rsidRPr="00D33B9A">
        <w:rPr>
          <w:rFonts w:cs="Arial"/>
        </w:rPr>
        <w:t>s</w:t>
      </w:r>
      <w:r w:rsidR="00917C67" w:rsidRPr="00D33B9A">
        <w:rPr>
          <w:rFonts w:cs="Arial"/>
        </w:rPr>
        <w:t xml:space="preserve"> are ‘market’ products allocated by regional HomeBuy agents</w:t>
      </w:r>
      <w:r w:rsidR="000021BF" w:rsidRPr="00D33B9A">
        <w:rPr>
          <w:rFonts w:cs="Arial"/>
        </w:rPr>
        <w:t>. Such schemes use</w:t>
      </w:r>
      <w:r w:rsidR="00917C67" w:rsidRPr="00D33B9A">
        <w:rPr>
          <w:rFonts w:cs="Arial"/>
        </w:rPr>
        <w:t xml:space="preserve"> a separate </w:t>
      </w:r>
      <w:r w:rsidR="00AE1E29" w:rsidRPr="00D33B9A">
        <w:rPr>
          <w:rFonts w:cs="Arial"/>
        </w:rPr>
        <w:t xml:space="preserve">applicant </w:t>
      </w:r>
      <w:r w:rsidR="00917C67" w:rsidRPr="00D33B9A">
        <w:rPr>
          <w:rFonts w:cs="Arial"/>
        </w:rPr>
        <w:t>list and do not assess on the basis of need or local connection.</w:t>
      </w:r>
    </w:p>
    <w:p w14:paraId="46BCEF1D" w14:textId="77777777" w:rsidR="00D33B9A" w:rsidRPr="008C52A8" w:rsidRDefault="00D33B9A" w:rsidP="002B01B1">
      <w:pPr>
        <w:ind w:left="360"/>
        <w:rPr>
          <w:rFonts w:cs="Arial"/>
        </w:rPr>
      </w:pPr>
    </w:p>
    <w:p w14:paraId="2CA293F5" w14:textId="02768EEA" w:rsidR="00917C67" w:rsidRPr="008C52A8" w:rsidRDefault="001376F0" w:rsidP="005860A3">
      <w:pPr>
        <w:rPr>
          <w:rFonts w:cs="Arial"/>
          <w:b/>
        </w:rPr>
      </w:pPr>
      <w:r>
        <w:rPr>
          <w:rFonts w:cs="Arial"/>
          <w:b/>
        </w:rPr>
        <w:t>3.0</w:t>
      </w:r>
      <w:r>
        <w:rPr>
          <w:rFonts w:cs="Arial"/>
          <w:b/>
        </w:rPr>
        <w:tab/>
      </w:r>
      <w:r w:rsidR="00917C67" w:rsidRPr="008C52A8">
        <w:rPr>
          <w:rFonts w:cs="Arial"/>
          <w:b/>
        </w:rPr>
        <w:t>Applications Process</w:t>
      </w:r>
    </w:p>
    <w:p w14:paraId="7412FA2A" w14:textId="3A72A295" w:rsidR="00BF472A" w:rsidRDefault="00C910A9" w:rsidP="00D33B9A">
      <w:pPr>
        <w:spacing w:after="0"/>
        <w:rPr>
          <w:rFonts w:cs="Arial"/>
        </w:rPr>
      </w:pPr>
      <w:r w:rsidRPr="008C52A8">
        <w:rPr>
          <w:rFonts w:cs="Arial"/>
        </w:rPr>
        <w:t xml:space="preserve">It has been necessary to reach agreement with each neighbouring </w:t>
      </w:r>
      <w:r w:rsidR="000021BF">
        <w:rPr>
          <w:rFonts w:cs="Arial"/>
        </w:rPr>
        <w:t>d</w:t>
      </w:r>
      <w:r w:rsidRPr="008C52A8">
        <w:rPr>
          <w:rFonts w:cs="Arial"/>
        </w:rPr>
        <w:t xml:space="preserve">istrict </w:t>
      </w:r>
      <w:r w:rsidR="000021BF">
        <w:rPr>
          <w:rFonts w:cs="Arial"/>
        </w:rPr>
        <w:t xml:space="preserve">council </w:t>
      </w:r>
      <w:r w:rsidRPr="008C52A8">
        <w:rPr>
          <w:rFonts w:cs="Arial"/>
        </w:rPr>
        <w:t xml:space="preserve">on the preferred allocation process </w:t>
      </w:r>
      <w:r w:rsidR="000021BF" w:rsidRPr="008C52A8">
        <w:rPr>
          <w:rFonts w:cs="Arial"/>
        </w:rPr>
        <w:t>t</w:t>
      </w:r>
      <w:r w:rsidR="000021BF">
        <w:rPr>
          <w:rFonts w:cs="Arial"/>
        </w:rPr>
        <w:t>o</w:t>
      </w:r>
      <w:r w:rsidR="000021BF" w:rsidRPr="008C52A8">
        <w:rPr>
          <w:rFonts w:cs="Arial"/>
        </w:rPr>
        <w:t xml:space="preserve"> </w:t>
      </w:r>
      <w:r w:rsidRPr="008C52A8">
        <w:rPr>
          <w:rFonts w:cs="Arial"/>
        </w:rPr>
        <w:t xml:space="preserve">be used when allocating homes developed under the </w:t>
      </w:r>
      <w:r w:rsidR="000021BF">
        <w:rPr>
          <w:rFonts w:cs="Arial"/>
        </w:rPr>
        <w:t>proposed scheme</w:t>
      </w:r>
      <w:r w:rsidRPr="008C52A8">
        <w:rPr>
          <w:rFonts w:cs="Arial"/>
        </w:rPr>
        <w:t xml:space="preserve">. </w:t>
      </w:r>
      <w:r w:rsidR="00085259" w:rsidRPr="008C52A8">
        <w:rPr>
          <w:rFonts w:cs="Arial"/>
        </w:rPr>
        <w:t xml:space="preserve">An </w:t>
      </w:r>
      <w:r w:rsidR="00BF472A" w:rsidRPr="008C52A8">
        <w:rPr>
          <w:rFonts w:cs="Arial"/>
        </w:rPr>
        <w:t>Oxfordshire-wide lettings approach using either a common application form or shared ICT system was discussed with all of the partner local authorities however a common approach could not be agreed within the time constraints of local plan adoption</w:t>
      </w:r>
      <w:r w:rsidR="000021BF">
        <w:rPr>
          <w:rFonts w:cs="Arial"/>
        </w:rPr>
        <w:t xml:space="preserve"> programmes</w:t>
      </w:r>
      <w:r w:rsidR="0035308F" w:rsidRPr="008C52A8">
        <w:rPr>
          <w:rFonts w:cs="Arial"/>
        </w:rPr>
        <w:t>,</w:t>
      </w:r>
      <w:r w:rsidR="00BF472A" w:rsidRPr="008C52A8">
        <w:rPr>
          <w:rFonts w:cs="Arial"/>
        </w:rPr>
        <w:t xml:space="preserve"> and </w:t>
      </w:r>
      <w:r w:rsidR="000021BF">
        <w:rPr>
          <w:rFonts w:cs="Arial"/>
        </w:rPr>
        <w:t>so a variety of different</w:t>
      </w:r>
      <w:r w:rsidR="000021BF" w:rsidRPr="008C52A8">
        <w:rPr>
          <w:rFonts w:cs="Arial"/>
        </w:rPr>
        <w:t xml:space="preserve"> </w:t>
      </w:r>
      <w:r w:rsidR="00BF472A" w:rsidRPr="008C52A8">
        <w:rPr>
          <w:rFonts w:cs="Arial"/>
        </w:rPr>
        <w:t xml:space="preserve">approaches </w:t>
      </w:r>
      <w:r w:rsidR="000021BF">
        <w:rPr>
          <w:rFonts w:cs="Arial"/>
        </w:rPr>
        <w:t>will</w:t>
      </w:r>
      <w:r w:rsidR="000021BF" w:rsidRPr="008C52A8">
        <w:rPr>
          <w:rFonts w:cs="Arial"/>
        </w:rPr>
        <w:t xml:space="preserve"> </w:t>
      </w:r>
      <w:r w:rsidR="00BF472A" w:rsidRPr="008C52A8">
        <w:rPr>
          <w:rFonts w:cs="Arial"/>
        </w:rPr>
        <w:t xml:space="preserve">therefore </w:t>
      </w:r>
      <w:r w:rsidR="000021BF">
        <w:rPr>
          <w:rFonts w:cs="Arial"/>
        </w:rPr>
        <w:t xml:space="preserve">be </w:t>
      </w:r>
      <w:r w:rsidR="00BF472A" w:rsidRPr="008C52A8">
        <w:rPr>
          <w:rFonts w:cs="Arial"/>
        </w:rPr>
        <w:t>necessary.</w:t>
      </w:r>
    </w:p>
    <w:p w14:paraId="5728213D" w14:textId="77777777" w:rsidR="00026816" w:rsidRPr="008C52A8" w:rsidRDefault="00026816" w:rsidP="00D33B9A">
      <w:pPr>
        <w:spacing w:after="0"/>
        <w:rPr>
          <w:rFonts w:cs="Arial"/>
        </w:rPr>
      </w:pPr>
    </w:p>
    <w:p w14:paraId="17140722" w14:textId="592E0E4A" w:rsidR="008C52A8" w:rsidRPr="008D4970" w:rsidRDefault="004F54B5" w:rsidP="002B01B1">
      <w:pPr>
        <w:pStyle w:val="ListParagraph"/>
        <w:numPr>
          <w:ilvl w:val="0"/>
          <w:numId w:val="0"/>
        </w:numPr>
        <w:spacing w:after="0"/>
        <w:ind w:left="426"/>
        <w:rPr>
          <w:rFonts w:cs="Arial"/>
        </w:rPr>
      </w:pPr>
      <w:r>
        <w:rPr>
          <w:rFonts w:cs="Arial"/>
        </w:rPr>
        <w:t xml:space="preserve">3.1 </w:t>
      </w:r>
      <w:r w:rsidR="0035308F" w:rsidRPr="004F54B5">
        <w:rPr>
          <w:rFonts w:cs="Arial"/>
        </w:rPr>
        <w:t xml:space="preserve">These different approaches will have an impact on the </w:t>
      </w:r>
      <w:r w:rsidR="00291477" w:rsidRPr="004F54B5">
        <w:rPr>
          <w:rFonts w:cs="Arial"/>
        </w:rPr>
        <w:t>‘</w:t>
      </w:r>
      <w:r w:rsidR="0035308F" w:rsidRPr="004F54B5">
        <w:rPr>
          <w:rFonts w:cs="Arial"/>
        </w:rPr>
        <w:t xml:space="preserve">customer </w:t>
      </w:r>
      <w:r w:rsidR="00291477" w:rsidRPr="004F54B5">
        <w:rPr>
          <w:rFonts w:cs="Arial"/>
        </w:rPr>
        <w:t xml:space="preserve">journey’ </w:t>
      </w:r>
      <w:r w:rsidR="0035308F" w:rsidRPr="004F54B5">
        <w:rPr>
          <w:rFonts w:cs="Arial"/>
        </w:rPr>
        <w:t xml:space="preserve">for Oxford residents seeking to join or already registered </w:t>
      </w:r>
      <w:r w:rsidR="000021BF" w:rsidRPr="004F54B5">
        <w:rPr>
          <w:rFonts w:cs="Arial"/>
        </w:rPr>
        <w:t xml:space="preserve">as housing applicants </w:t>
      </w:r>
      <w:r w:rsidR="0035308F" w:rsidRPr="004F54B5">
        <w:rPr>
          <w:rFonts w:cs="Arial"/>
        </w:rPr>
        <w:t xml:space="preserve">with </w:t>
      </w:r>
      <w:r w:rsidR="000021BF" w:rsidRPr="004F54B5">
        <w:rPr>
          <w:rFonts w:cs="Arial"/>
        </w:rPr>
        <w:t>the Council</w:t>
      </w:r>
      <w:r w:rsidR="0035308F" w:rsidRPr="004F54B5">
        <w:rPr>
          <w:rFonts w:cs="Arial"/>
        </w:rPr>
        <w:t xml:space="preserve">. </w:t>
      </w:r>
      <w:r w:rsidR="00917C67" w:rsidRPr="004F54B5">
        <w:rPr>
          <w:rFonts w:cs="Arial"/>
        </w:rPr>
        <w:t>All interested</w:t>
      </w:r>
      <w:r w:rsidR="00A3240E" w:rsidRPr="004F54B5">
        <w:rPr>
          <w:rFonts w:cs="Arial"/>
        </w:rPr>
        <w:t xml:space="preserve"> </w:t>
      </w:r>
      <w:r w:rsidR="00917C67" w:rsidRPr="004F54B5">
        <w:rPr>
          <w:rFonts w:cs="Arial"/>
        </w:rPr>
        <w:t xml:space="preserve">applicants </w:t>
      </w:r>
      <w:r w:rsidR="005974F5" w:rsidRPr="004F54B5">
        <w:rPr>
          <w:rFonts w:cs="Arial"/>
        </w:rPr>
        <w:t xml:space="preserve">who </w:t>
      </w:r>
      <w:r w:rsidR="00917C67" w:rsidRPr="004F54B5">
        <w:rPr>
          <w:rFonts w:cs="Arial"/>
        </w:rPr>
        <w:t>are already on, or apply to join the Oxford Register for Affordable Housing</w:t>
      </w:r>
      <w:r w:rsidR="000021BF" w:rsidRPr="004F54B5">
        <w:rPr>
          <w:rFonts w:cs="Arial"/>
        </w:rPr>
        <w:t xml:space="preserve"> (“ORAH”) </w:t>
      </w:r>
      <w:r w:rsidR="00917C67" w:rsidRPr="004F54B5">
        <w:rPr>
          <w:rFonts w:cs="Arial"/>
        </w:rPr>
        <w:t xml:space="preserve">with Oxford City Council </w:t>
      </w:r>
      <w:r w:rsidR="005974F5" w:rsidRPr="004F54B5">
        <w:rPr>
          <w:rFonts w:cs="Arial"/>
        </w:rPr>
        <w:t xml:space="preserve">will have </w:t>
      </w:r>
      <w:r w:rsidR="008C52A8" w:rsidRPr="004F54B5">
        <w:rPr>
          <w:rFonts w:cs="Arial"/>
        </w:rPr>
        <w:t xml:space="preserve">the </w:t>
      </w:r>
      <w:r w:rsidR="00917C67" w:rsidRPr="004F54B5">
        <w:rPr>
          <w:rFonts w:cs="Arial"/>
        </w:rPr>
        <w:t xml:space="preserve">home advertisements, assessment of need and allocations carried out by </w:t>
      </w:r>
      <w:r w:rsidR="000021BF" w:rsidRPr="004F54B5">
        <w:rPr>
          <w:rFonts w:cs="Arial"/>
        </w:rPr>
        <w:t>the Council</w:t>
      </w:r>
      <w:r w:rsidR="00917C67" w:rsidRPr="004F54B5">
        <w:rPr>
          <w:rFonts w:cs="Arial"/>
        </w:rPr>
        <w:t xml:space="preserve">.  </w:t>
      </w:r>
    </w:p>
    <w:p w14:paraId="39900EDB" w14:textId="77777777" w:rsidR="00026816" w:rsidRDefault="00026816" w:rsidP="002B01B1">
      <w:pPr>
        <w:spacing w:after="0"/>
        <w:rPr>
          <w:rFonts w:cs="Arial"/>
        </w:rPr>
      </w:pPr>
    </w:p>
    <w:p w14:paraId="14FA4642" w14:textId="1DE9FC43" w:rsidR="008678E7" w:rsidRPr="004F54B5" w:rsidRDefault="004F54B5" w:rsidP="002B01B1">
      <w:pPr>
        <w:pStyle w:val="ListParagraph"/>
        <w:numPr>
          <w:ilvl w:val="0"/>
          <w:numId w:val="0"/>
        </w:numPr>
        <w:spacing w:after="0"/>
        <w:ind w:left="426"/>
        <w:rPr>
          <w:rFonts w:cs="Arial"/>
        </w:rPr>
      </w:pPr>
      <w:r>
        <w:rPr>
          <w:rFonts w:cs="Arial"/>
        </w:rPr>
        <w:t xml:space="preserve">3.2 </w:t>
      </w:r>
      <w:r w:rsidR="005974F5" w:rsidRPr="004F54B5">
        <w:rPr>
          <w:rFonts w:cs="Arial"/>
        </w:rPr>
        <w:t>R</w:t>
      </w:r>
      <w:r w:rsidR="00917C67" w:rsidRPr="004F54B5">
        <w:rPr>
          <w:rFonts w:cs="Arial"/>
        </w:rPr>
        <w:t xml:space="preserve">esidents with housing need </w:t>
      </w:r>
      <w:r w:rsidR="00F9024D" w:rsidRPr="004F54B5">
        <w:rPr>
          <w:rFonts w:cs="Arial"/>
        </w:rPr>
        <w:t xml:space="preserve">and a local connection </w:t>
      </w:r>
      <w:r w:rsidR="00BF472A" w:rsidRPr="004F54B5">
        <w:rPr>
          <w:rFonts w:cs="Arial"/>
        </w:rPr>
        <w:t xml:space="preserve">to Oxford through residence, employment or family </w:t>
      </w:r>
      <w:r w:rsidR="00917C67" w:rsidRPr="004F54B5">
        <w:rPr>
          <w:rFonts w:cs="Arial"/>
        </w:rPr>
        <w:t>can</w:t>
      </w:r>
      <w:r w:rsidR="005974F5" w:rsidRPr="004F54B5">
        <w:rPr>
          <w:rFonts w:cs="Arial"/>
        </w:rPr>
        <w:t xml:space="preserve">, in addition, </w:t>
      </w:r>
      <w:r w:rsidR="00917C67" w:rsidRPr="004F54B5">
        <w:rPr>
          <w:rFonts w:cs="Arial"/>
        </w:rPr>
        <w:t xml:space="preserve">register on </w:t>
      </w:r>
      <w:r w:rsidR="00026816" w:rsidRPr="004F54B5">
        <w:rPr>
          <w:rFonts w:cs="Arial"/>
        </w:rPr>
        <w:t xml:space="preserve">the </w:t>
      </w:r>
      <w:r w:rsidR="00F9024D" w:rsidRPr="004F54B5">
        <w:rPr>
          <w:rFonts w:cs="Arial"/>
        </w:rPr>
        <w:t xml:space="preserve">neighbouring </w:t>
      </w:r>
      <w:r w:rsidR="000021BF" w:rsidRPr="004F54B5">
        <w:rPr>
          <w:rFonts w:cs="Arial"/>
        </w:rPr>
        <w:t>d</w:t>
      </w:r>
      <w:r w:rsidR="00917C67" w:rsidRPr="004F54B5">
        <w:rPr>
          <w:rFonts w:cs="Arial"/>
        </w:rPr>
        <w:t xml:space="preserve">istrict </w:t>
      </w:r>
      <w:r w:rsidR="000021BF" w:rsidRPr="004F54B5">
        <w:rPr>
          <w:rFonts w:cs="Arial"/>
        </w:rPr>
        <w:t>h</w:t>
      </w:r>
      <w:r w:rsidR="00072AEA" w:rsidRPr="004F54B5">
        <w:rPr>
          <w:rFonts w:cs="Arial"/>
        </w:rPr>
        <w:t xml:space="preserve">ousing registers of </w:t>
      </w:r>
      <w:r w:rsidR="00291477" w:rsidRPr="004F54B5">
        <w:rPr>
          <w:rFonts w:cs="Arial"/>
        </w:rPr>
        <w:t>W</w:t>
      </w:r>
      <w:r w:rsidR="000021BF" w:rsidRPr="004F54B5">
        <w:rPr>
          <w:rFonts w:cs="Arial"/>
        </w:rPr>
        <w:t xml:space="preserve">est </w:t>
      </w:r>
      <w:r w:rsidR="00291477" w:rsidRPr="004F54B5">
        <w:rPr>
          <w:rFonts w:cs="Arial"/>
        </w:rPr>
        <w:t>O</w:t>
      </w:r>
      <w:r w:rsidR="000021BF" w:rsidRPr="004F54B5">
        <w:rPr>
          <w:rFonts w:cs="Arial"/>
        </w:rPr>
        <w:t xml:space="preserve">xfordshire </w:t>
      </w:r>
      <w:r w:rsidR="00291477" w:rsidRPr="004F54B5">
        <w:rPr>
          <w:rFonts w:cs="Arial"/>
        </w:rPr>
        <w:t>D</w:t>
      </w:r>
      <w:r w:rsidR="000021BF" w:rsidRPr="004F54B5">
        <w:rPr>
          <w:rFonts w:cs="Arial"/>
        </w:rPr>
        <w:t xml:space="preserve">istrict </w:t>
      </w:r>
      <w:r w:rsidR="00291477" w:rsidRPr="004F54B5">
        <w:rPr>
          <w:rFonts w:cs="Arial"/>
        </w:rPr>
        <w:t>C</w:t>
      </w:r>
      <w:r w:rsidR="000021BF" w:rsidRPr="004F54B5">
        <w:rPr>
          <w:rFonts w:cs="Arial"/>
        </w:rPr>
        <w:t>ouncil</w:t>
      </w:r>
      <w:r w:rsidR="00291477" w:rsidRPr="004F54B5">
        <w:rPr>
          <w:rFonts w:cs="Arial"/>
        </w:rPr>
        <w:t>, South</w:t>
      </w:r>
      <w:r w:rsidR="000021BF" w:rsidRPr="004F54B5">
        <w:rPr>
          <w:rFonts w:cs="Arial"/>
        </w:rPr>
        <w:t xml:space="preserve"> Oxfordshire District Council</w:t>
      </w:r>
      <w:r w:rsidR="00291477" w:rsidRPr="004F54B5">
        <w:rPr>
          <w:rFonts w:cs="Arial"/>
        </w:rPr>
        <w:t xml:space="preserve"> and Vale</w:t>
      </w:r>
      <w:r w:rsidR="000021BF" w:rsidRPr="004F54B5">
        <w:rPr>
          <w:rFonts w:cs="Arial"/>
        </w:rPr>
        <w:t xml:space="preserve"> of White Horse District Council</w:t>
      </w:r>
      <w:r w:rsidR="00291477" w:rsidRPr="004F54B5">
        <w:rPr>
          <w:rFonts w:cs="Arial"/>
        </w:rPr>
        <w:t>.</w:t>
      </w:r>
    </w:p>
    <w:p w14:paraId="776322D2" w14:textId="77777777" w:rsidR="00E547CF" w:rsidRDefault="00E547CF" w:rsidP="00E547CF">
      <w:pPr>
        <w:rPr>
          <w:rFonts w:cs="Arial"/>
          <w:b/>
        </w:rPr>
      </w:pPr>
    </w:p>
    <w:p w14:paraId="5A3FE13D" w14:textId="122E6960" w:rsidR="00E547CF" w:rsidRPr="008678E7" w:rsidRDefault="004F54B5" w:rsidP="00E547CF">
      <w:pPr>
        <w:rPr>
          <w:rFonts w:cs="Arial"/>
          <w:b/>
        </w:rPr>
      </w:pPr>
      <w:r>
        <w:rPr>
          <w:rFonts w:cs="Arial"/>
          <w:b/>
        </w:rPr>
        <w:t xml:space="preserve">4.0 </w:t>
      </w:r>
      <w:r>
        <w:rPr>
          <w:rFonts w:cs="Arial"/>
          <w:b/>
        </w:rPr>
        <w:tab/>
      </w:r>
      <w:r w:rsidR="00E547CF" w:rsidRPr="008678E7">
        <w:rPr>
          <w:rFonts w:cs="Arial"/>
          <w:b/>
        </w:rPr>
        <w:t>West Oxfordshire Approach</w:t>
      </w:r>
    </w:p>
    <w:p w14:paraId="5FB0C45D" w14:textId="56E71628" w:rsidR="00E547CF" w:rsidRDefault="00C56346" w:rsidP="00E547CF">
      <w:pPr>
        <w:rPr>
          <w:rFonts w:cs="Arial"/>
        </w:rPr>
      </w:pPr>
      <w:r>
        <w:rPr>
          <w:rFonts w:cs="Arial"/>
        </w:rPr>
        <w:t xml:space="preserve">The </w:t>
      </w:r>
      <w:r w:rsidR="00E547CF" w:rsidRPr="00291477">
        <w:rPr>
          <w:rFonts w:cs="Arial"/>
        </w:rPr>
        <w:t xml:space="preserve">West Oxfordshire District Council </w:t>
      </w:r>
      <w:r w:rsidR="004301AE">
        <w:rPr>
          <w:rFonts w:cs="Arial"/>
        </w:rPr>
        <w:t xml:space="preserve">(“WODC”) </w:t>
      </w:r>
      <w:r w:rsidR="00E547CF">
        <w:rPr>
          <w:rFonts w:cs="Arial"/>
        </w:rPr>
        <w:t xml:space="preserve">has elected to retain the management of applications and the allocation of the dwellings identified in West Oxfordshire to meet Oxford’s unmet need through their Choice Based Lettings system. This will require Oxford residents to also register with WODC where they will be able to indicate their local connection </w:t>
      </w:r>
      <w:r w:rsidR="00275939">
        <w:rPr>
          <w:rFonts w:cs="Arial"/>
        </w:rPr>
        <w:t xml:space="preserve">to Oxford </w:t>
      </w:r>
      <w:r w:rsidR="00E547CF">
        <w:rPr>
          <w:rFonts w:cs="Arial"/>
        </w:rPr>
        <w:t xml:space="preserve">through residence, employment or family. WODC will manage the assessment and allocation process and report on a monthly basis the numbers of dwellings let to those with an ‘Oxford Connection’ and those let to Oxford </w:t>
      </w:r>
      <w:r w:rsidR="00E547CF">
        <w:rPr>
          <w:rFonts w:cs="Arial"/>
        </w:rPr>
        <w:lastRenderedPageBreak/>
        <w:t xml:space="preserve">residents. Full details of the agreement at officer level between </w:t>
      </w:r>
      <w:r>
        <w:rPr>
          <w:rFonts w:cs="Arial"/>
        </w:rPr>
        <w:t xml:space="preserve">the Council </w:t>
      </w:r>
      <w:r w:rsidR="00E547CF">
        <w:rPr>
          <w:rFonts w:cs="Arial"/>
        </w:rPr>
        <w:t>a</w:t>
      </w:r>
      <w:r w:rsidR="00EA6ABD">
        <w:rPr>
          <w:rFonts w:cs="Arial"/>
        </w:rPr>
        <w:t>nd WODC is set out in Appendix 1</w:t>
      </w:r>
      <w:r w:rsidR="00E547CF">
        <w:rPr>
          <w:rFonts w:cs="Arial"/>
        </w:rPr>
        <w:t>.</w:t>
      </w:r>
      <w:r w:rsidR="00E547CF">
        <w:rPr>
          <w:rFonts w:ascii="Calibri" w:hAnsi="Calibri" w:cs="Calibri"/>
        </w:rPr>
        <w:t xml:space="preserve"> </w:t>
      </w:r>
    </w:p>
    <w:p w14:paraId="1B6A1082" w14:textId="77777777" w:rsidR="00E547CF" w:rsidRPr="00291477" w:rsidRDefault="00E547CF" w:rsidP="00E547CF">
      <w:pPr>
        <w:rPr>
          <w:rFonts w:cs="Arial"/>
        </w:rPr>
      </w:pPr>
    </w:p>
    <w:p w14:paraId="4F081435" w14:textId="45CD9D1D" w:rsidR="00E547CF" w:rsidRPr="008678E7" w:rsidRDefault="004F54B5" w:rsidP="00E547CF">
      <w:pPr>
        <w:rPr>
          <w:rFonts w:cs="Arial"/>
          <w:b/>
        </w:rPr>
      </w:pPr>
      <w:r>
        <w:rPr>
          <w:rFonts w:cs="Arial"/>
          <w:b/>
        </w:rPr>
        <w:t>5.0</w:t>
      </w:r>
      <w:r w:rsidR="001376F0">
        <w:rPr>
          <w:rFonts w:cs="Arial"/>
          <w:b/>
        </w:rPr>
        <w:tab/>
      </w:r>
      <w:r w:rsidR="00E547CF" w:rsidRPr="008678E7">
        <w:rPr>
          <w:rFonts w:cs="Arial"/>
          <w:b/>
        </w:rPr>
        <w:t>South and Vale Approach</w:t>
      </w:r>
    </w:p>
    <w:p w14:paraId="03FC0BF3" w14:textId="7A49DE3C" w:rsidR="00E547CF" w:rsidRPr="008C52A8" w:rsidRDefault="00C56346" w:rsidP="00E547CF">
      <w:pPr>
        <w:rPr>
          <w:rFonts w:cs="Arial"/>
        </w:rPr>
      </w:pPr>
      <w:r>
        <w:rPr>
          <w:rFonts w:cs="Arial"/>
        </w:rPr>
        <w:t xml:space="preserve">The </w:t>
      </w:r>
      <w:r w:rsidR="00E547CF">
        <w:rPr>
          <w:rFonts w:cs="Arial"/>
        </w:rPr>
        <w:t xml:space="preserve">South </w:t>
      </w:r>
      <w:r w:rsidR="002224F1">
        <w:rPr>
          <w:rFonts w:cs="Arial"/>
        </w:rPr>
        <w:t xml:space="preserve">Oxfordshire District Council </w:t>
      </w:r>
      <w:r w:rsidR="00E547CF">
        <w:rPr>
          <w:rFonts w:cs="Arial"/>
        </w:rPr>
        <w:t xml:space="preserve">and Vale </w:t>
      </w:r>
      <w:r w:rsidR="002224F1">
        <w:rPr>
          <w:rFonts w:cs="Arial"/>
        </w:rPr>
        <w:t xml:space="preserve">of White Horse </w:t>
      </w:r>
      <w:r w:rsidR="00E547CF">
        <w:rPr>
          <w:rFonts w:cs="Arial"/>
        </w:rPr>
        <w:t xml:space="preserve">District Council </w:t>
      </w:r>
      <w:r>
        <w:rPr>
          <w:rFonts w:cs="Arial"/>
        </w:rPr>
        <w:t xml:space="preserve">(“South &amp; Vale”) </w:t>
      </w:r>
      <w:r w:rsidR="00E547CF">
        <w:rPr>
          <w:rFonts w:cs="Arial"/>
        </w:rPr>
        <w:t xml:space="preserve">are also seeking to administer the application and allocation of identified dwellings to meet the unmet housing need </w:t>
      </w:r>
      <w:r>
        <w:rPr>
          <w:rFonts w:cs="Arial"/>
        </w:rPr>
        <w:t xml:space="preserve">in Oxford </w:t>
      </w:r>
      <w:r w:rsidR="00E547CF">
        <w:rPr>
          <w:rFonts w:cs="Arial"/>
        </w:rPr>
        <w:t xml:space="preserve">through their Choice Based Lettings system. This will again require Oxford residents to register with South &amp; Vale and indicate their local connection </w:t>
      </w:r>
      <w:r w:rsidR="00275939">
        <w:rPr>
          <w:rFonts w:cs="Arial"/>
        </w:rPr>
        <w:t xml:space="preserve">to Oxford </w:t>
      </w:r>
      <w:r w:rsidR="00E547CF">
        <w:rPr>
          <w:rFonts w:cs="Arial"/>
        </w:rPr>
        <w:t xml:space="preserve">through residence, employment or family, however as the </w:t>
      </w:r>
      <w:r>
        <w:rPr>
          <w:rFonts w:cs="Arial"/>
        </w:rPr>
        <w:t xml:space="preserve">two </w:t>
      </w:r>
      <w:r w:rsidR="00E547CF">
        <w:rPr>
          <w:rFonts w:cs="Arial"/>
        </w:rPr>
        <w:t>councils have a common allocation system residents will only have to complete one registration for both areas. Preliminary discussion</w:t>
      </w:r>
      <w:r>
        <w:rPr>
          <w:rFonts w:cs="Arial"/>
        </w:rPr>
        <w:t>s</w:t>
      </w:r>
      <w:r w:rsidR="00E547CF">
        <w:rPr>
          <w:rFonts w:cs="Arial"/>
        </w:rPr>
        <w:t xml:space="preserve"> are underway </w:t>
      </w:r>
      <w:r>
        <w:rPr>
          <w:rFonts w:cs="Arial"/>
        </w:rPr>
        <w:t xml:space="preserve">between </w:t>
      </w:r>
      <w:r w:rsidR="00E547CF">
        <w:rPr>
          <w:rFonts w:cs="Arial"/>
        </w:rPr>
        <w:t xml:space="preserve">officers </w:t>
      </w:r>
      <w:r>
        <w:rPr>
          <w:rFonts w:cs="Arial"/>
        </w:rPr>
        <w:t xml:space="preserve">of the three authorities </w:t>
      </w:r>
      <w:r w:rsidR="00E547CF">
        <w:rPr>
          <w:rFonts w:cs="Arial"/>
        </w:rPr>
        <w:t>but it is anticipated the agreement will follow that already in place with WODC.</w:t>
      </w:r>
    </w:p>
    <w:p w14:paraId="47812711" w14:textId="77777777" w:rsidR="008678E7" w:rsidRPr="008C52A8" w:rsidRDefault="008678E7" w:rsidP="005860A3">
      <w:pPr>
        <w:rPr>
          <w:rFonts w:cs="Arial"/>
        </w:rPr>
      </w:pPr>
    </w:p>
    <w:p w14:paraId="68490C5E" w14:textId="0F4AAD17" w:rsidR="000D45AE" w:rsidRPr="008C52A8" w:rsidRDefault="004F54B5" w:rsidP="005860A3">
      <w:pPr>
        <w:rPr>
          <w:rFonts w:cs="Arial"/>
          <w:b/>
        </w:rPr>
      </w:pPr>
      <w:r>
        <w:rPr>
          <w:rFonts w:cs="Arial"/>
          <w:b/>
        </w:rPr>
        <w:t>6.0</w:t>
      </w:r>
      <w:r w:rsidR="001376F0">
        <w:rPr>
          <w:rFonts w:cs="Arial"/>
          <w:b/>
        </w:rPr>
        <w:tab/>
      </w:r>
      <w:r w:rsidR="000D45AE" w:rsidRPr="008C52A8">
        <w:rPr>
          <w:rFonts w:cs="Arial"/>
          <w:b/>
        </w:rPr>
        <w:t>Cherwell District Council Approach</w:t>
      </w:r>
    </w:p>
    <w:p w14:paraId="0E73FA91" w14:textId="63D46F0E" w:rsidR="00E645FC" w:rsidRDefault="00D33B9A" w:rsidP="002B01B1">
      <w:pPr>
        <w:spacing w:after="0"/>
        <w:ind w:left="720"/>
        <w:rPr>
          <w:rFonts w:cs="Arial"/>
        </w:rPr>
      </w:pPr>
      <w:r>
        <w:rPr>
          <w:rFonts w:cs="Arial"/>
        </w:rPr>
        <w:t xml:space="preserve">6.1 </w:t>
      </w:r>
      <w:r w:rsidR="008C52A8" w:rsidRPr="008C52A8">
        <w:rPr>
          <w:rFonts w:cs="Arial"/>
        </w:rPr>
        <w:t xml:space="preserve">Unlike WODC and South </w:t>
      </w:r>
      <w:r w:rsidR="00C56346">
        <w:rPr>
          <w:rFonts w:cs="Arial"/>
        </w:rPr>
        <w:t>&amp;</w:t>
      </w:r>
      <w:r w:rsidR="00C56346" w:rsidRPr="008C52A8">
        <w:rPr>
          <w:rFonts w:cs="Arial"/>
        </w:rPr>
        <w:t xml:space="preserve"> </w:t>
      </w:r>
      <w:r w:rsidR="008C52A8" w:rsidRPr="008C52A8">
        <w:rPr>
          <w:rFonts w:cs="Arial"/>
        </w:rPr>
        <w:t xml:space="preserve">Vale, </w:t>
      </w:r>
      <w:r w:rsidR="00F9024D" w:rsidRPr="008C52A8">
        <w:rPr>
          <w:rFonts w:cs="Arial"/>
        </w:rPr>
        <w:t xml:space="preserve">Cherwell District Council has proposed to delegate </w:t>
      </w:r>
      <w:r w:rsidR="00C56346">
        <w:rPr>
          <w:rFonts w:cs="Arial"/>
        </w:rPr>
        <w:t>its</w:t>
      </w:r>
      <w:r w:rsidR="00C56346" w:rsidRPr="008C52A8">
        <w:rPr>
          <w:rFonts w:cs="Arial"/>
        </w:rPr>
        <w:t xml:space="preserve"> </w:t>
      </w:r>
      <w:r w:rsidR="00F9024D" w:rsidRPr="008C52A8">
        <w:rPr>
          <w:rFonts w:cs="Arial"/>
        </w:rPr>
        <w:t>executive function of letting the units, under the Housing Act</w:t>
      </w:r>
      <w:r w:rsidR="00026816">
        <w:rPr>
          <w:rFonts w:cs="Arial"/>
        </w:rPr>
        <w:t xml:space="preserve"> 1996</w:t>
      </w:r>
      <w:r w:rsidR="00F9024D" w:rsidRPr="008C52A8">
        <w:rPr>
          <w:rFonts w:cs="Arial"/>
        </w:rPr>
        <w:t>, to Oxford City</w:t>
      </w:r>
      <w:r w:rsidR="00026816">
        <w:rPr>
          <w:rFonts w:cs="Arial"/>
        </w:rPr>
        <w:t xml:space="preserve"> Council</w:t>
      </w:r>
      <w:r w:rsidR="00C56346">
        <w:rPr>
          <w:rFonts w:cs="Arial"/>
        </w:rPr>
        <w:t>. The proposed delegation would</w:t>
      </w:r>
      <w:r w:rsidR="00C56346" w:rsidRPr="00C56346">
        <w:rPr>
          <w:rFonts w:cs="Arial"/>
        </w:rPr>
        <w:t xml:space="preserve"> only apply to the functions under the Housing Act 1996 in respect of the specific properties which are identified as being delivered to meet Oxford’s unmet housing need. As such, Cherwell </w:t>
      </w:r>
      <w:r w:rsidR="009C1C5E">
        <w:rPr>
          <w:rFonts w:cs="Arial"/>
        </w:rPr>
        <w:t>District Council would</w:t>
      </w:r>
      <w:r w:rsidR="00C56346" w:rsidRPr="00C56346">
        <w:rPr>
          <w:rFonts w:cs="Arial"/>
        </w:rPr>
        <w:t xml:space="preserve"> retain full control and powers over both the development of housing on those sites, and all other statutory powers and functions arising in respect of such properties.</w:t>
      </w:r>
    </w:p>
    <w:p w14:paraId="109B5494" w14:textId="77777777" w:rsidR="00E645FC" w:rsidRDefault="00E645FC" w:rsidP="00D33B9A">
      <w:pPr>
        <w:spacing w:after="0"/>
        <w:rPr>
          <w:rFonts w:cs="Arial"/>
        </w:rPr>
      </w:pPr>
    </w:p>
    <w:p w14:paraId="30DD6BD0" w14:textId="5B14B40F" w:rsidR="00C56346" w:rsidRDefault="004F54B5" w:rsidP="00D33B9A">
      <w:pPr>
        <w:spacing w:after="0"/>
        <w:ind w:left="720"/>
        <w:rPr>
          <w:rFonts w:cs="Arial"/>
        </w:rPr>
      </w:pPr>
      <w:r>
        <w:rPr>
          <w:rFonts w:cs="Arial"/>
        </w:rPr>
        <w:t>6.</w:t>
      </w:r>
      <w:r w:rsidR="00D33B9A">
        <w:rPr>
          <w:rFonts w:cs="Arial"/>
        </w:rPr>
        <w:t>2</w:t>
      </w:r>
      <w:r>
        <w:rPr>
          <w:rFonts w:cs="Arial"/>
        </w:rPr>
        <w:t xml:space="preserve"> </w:t>
      </w:r>
      <w:r w:rsidR="00C56346">
        <w:rPr>
          <w:rFonts w:cs="Arial"/>
        </w:rPr>
        <w:t>Approval has been given in principle for this approach</w:t>
      </w:r>
      <w:r w:rsidR="009C1C5E">
        <w:rPr>
          <w:rFonts w:cs="Arial"/>
        </w:rPr>
        <w:t xml:space="preserve"> by Cherwell District Council (Appendix </w:t>
      </w:r>
      <w:r w:rsidR="00275939">
        <w:rPr>
          <w:rFonts w:cs="Arial"/>
        </w:rPr>
        <w:t xml:space="preserve">2). </w:t>
      </w:r>
      <w:r w:rsidR="006A5EFF">
        <w:rPr>
          <w:rFonts w:cs="Arial"/>
        </w:rPr>
        <w:t>A further report will be brought forward for consideration as soon as the necessary delegation of the function has been made by Cherwell District Council. There would be a formal agreement between the two authorities setting out the details of the how the delegation will operate.</w:t>
      </w:r>
    </w:p>
    <w:p w14:paraId="4D3CAB1F" w14:textId="77777777" w:rsidR="00C56346" w:rsidRDefault="00C56346" w:rsidP="00D33B9A">
      <w:pPr>
        <w:spacing w:after="0"/>
        <w:rPr>
          <w:rFonts w:cs="Arial"/>
        </w:rPr>
      </w:pPr>
    </w:p>
    <w:p w14:paraId="3B5E00B1" w14:textId="444C793E" w:rsidR="00C56346" w:rsidRPr="00C56346" w:rsidRDefault="004F54B5" w:rsidP="00D33B9A">
      <w:pPr>
        <w:spacing w:after="0"/>
        <w:ind w:left="720"/>
        <w:rPr>
          <w:rFonts w:cs="Arial"/>
        </w:rPr>
      </w:pPr>
      <w:r>
        <w:rPr>
          <w:rFonts w:cs="Arial"/>
        </w:rPr>
        <w:t xml:space="preserve">6.2 </w:t>
      </w:r>
      <w:r w:rsidR="00C56346">
        <w:rPr>
          <w:rFonts w:cs="Arial"/>
        </w:rPr>
        <w:t>The Council would process</w:t>
      </w:r>
      <w:r w:rsidR="00C56346" w:rsidRPr="00C56346">
        <w:rPr>
          <w:rFonts w:cs="Arial"/>
        </w:rPr>
        <w:t xml:space="preserve"> all housing applications from eligible households who have a local connection to Oxford through residence, employment or family. When a property becomes available on an identified site to meet Oxford’s need within Cherwell district, the Council w</w:t>
      </w:r>
      <w:r w:rsidR="009C1C5E">
        <w:rPr>
          <w:rFonts w:cs="Arial"/>
        </w:rPr>
        <w:t>ould</w:t>
      </w:r>
      <w:r w:rsidR="00C56346" w:rsidRPr="00C56346">
        <w:rPr>
          <w:rFonts w:cs="Arial"/>
        </w:rPr>
        <w:t xml:space="preserve"> then work with the registered provider to administer the letting of the property and nominate eligible households directly from the </w:t>
      </w:r>
      <w:r w:rsidR="00026816">
        <w:rPr>
          <w:rFonts w:cs="Arial"/>
        </w:rPr>
        <w:t>Council’s</w:t>
      </w:r>
      <w:r w:rsidR="00026816" w:rsidRPr="00C56346">
        <w:rPr>
          <w:rFonts w:cs="Arial"/>
        </w:rPr>
        <w:t xml:space="preserve"> </w:t>
      </w:r>
      <w:r w:rsidR="00C56346" w:rsidRPr="00C56346">
        <w:rPr>
          <w:rFonts w:cs="Arial"/>
        </w:rPr>
        <w:t>housing register. Should the Council be unable to make a nomination or allocate the property to someone with an Oxford local connection, then they would offer the opportunity to Cherwell District Council to nominate a housing applicant from its housing register.</w:t>
      </w:r>
    </w:p>
    <w:p w14:paraId="204D4804" w14:textId="77777777" w:rsidR="00C56346" w:rsidRPr="00C56346" w:rsidRDefault="00C56346" w:rsidP="00D33B9A">
      <w:pPr>
        <w:spacing w:after="0"/>
        <w:rPr>
          <w:rFonts w:cs="Arial"/>
        </w:rPr>
      </w:pPr>
    </w:p>
    <w:p w14:paraId="1210F37E" w14:textId="0B1A2EBB" w:rsidR="009C1C5E" w:rsidRDefault="004F54B5" w:rsidP="00D33B9A">
      <w:pPr>
        <w:spacing w:after="0"/>
        <w:ind w:left="720"/>
        <w:rPr>
          <w:rFonts w:cs="Arial"/>
        </w:rPr>
      </w:pPr>
      <w:r>
        <w:rPr>
          <w:rFonts w:cs="Arial"/>
        </w:rPr>
        <w:t xml:space="preserve">6.3 </w:t>
      </w:r>
      <w:r w:rsidR="00C56346" w:rsidRPr="00C56346">
        <w:rPr>
          <w:rFonts w:cs="Arial"/>
        </w:rPr>
        <w:t xml:space="preserve">This approach would involve </w:t>
      </w:r>
      <w:r w:rsidR="009C1C5E">
        <w:rPr>
          <w:rFonts w:cs="Arial"/>
        </w:rPr>
        <w:t>the</w:t>
      </w:r>
      <w:r w:rsidR="00C56346" w:rsidRPr="00C56346">
        <w:rPr>
          <w:rFonts w:cs="Arial"/>
        </w:rPr>
        <w:t xml:space="preserve"> Council using its allocations policy to determine eligibility and suitable nominations for the properties on the sites in </w:t>
      </w:r>
      <w:r w:rsidR="00026816">
        <w:rPr>
          <w:rFonts w:cs="Arial"/>
        </w:rPr>
        <w:t xml:space="preserve">the </w:t>
      </w:r>
      <w:r w:rsidR="00C56346" w:rsidRPr="00C56346">
        <w:rPr>
          <w:rFonts w:cs="Arial"/>
        </w:rPr>
        <w:t xml:space="preserve">Cherwell </w:t>
      </w:r>
      <w:r w:rsidR="00026816">
        <w:rPr>
          <w:rFonts w:cs="Arial"/>
        </w:rPr>
        <w:t xml:space="preserve">administrative area </w:t>
      </w:r>
      <w:r w:rsidR="00C56346" w:rsidRPr="00C56346">
        <w:rPr>
          <w:rFonts w:cs="Arial"/>
        </w:rPr>
        <w:t xml:space="preserve">that have been identified to meet an Oxford need. In addition, it would prevent the need for Oxford housing register applicants to also register with Cherwell District Council. A legal agreement and a commonly agreed nominations or letting plan between the </w:t>
      </w:r>
      <w:r w:rsidR="009C1C5E">
        <w:rPr>
          <w:rFonts w:cs="Arial"/>
        </w:rPr>
        <w:t>Council and Cherwell District C</w:t>
      </w:r>
      <w:r w:rsidR="00C56346" w:rsidRPr="00C56346">
        <w:rPr>
          <w:rFonts w:cs="Arial"/>
        </w:rPr>
        <w:t xml:space="preserve">ouncil would ensure that both are aligned with the </w:t>
      </w:r>
      <w:r w:rsidR="00C56346" w:rsidRPr="00C56346">
        <w:rPr>
          <w:rFonts w:cs="Arial"/>
        </w:rPr>
        <w:lastRenderedPageBreak/>
        <w:t>arrangements for allocation of the properties on these sites and that</w:t>
      </w:r>
      <w:r w:rsidR="009C1C5E">
        <w:rPr>
          <w:rFonts w:cs="Arial"/>
        </w:rPr>
        <w:t xml:space="preserve"> </w:t>
      </w:r>
      <w:r w:rsidR="00C56346" w:rsidRPr="00C56346">
        <w:rPr>
          <w:rFonts w:cs="Arial"/>
        </w:rPr>
        <w:t>a range of hou</w:t>
      </w:r>
      <w:r w:rsidR="009C1C5E">
        <w:rPr>
          <w:rFonts w:cs="Arial"/>
        </w:rPr>
        <w:t>seholds’ housing needs are met.</w:t>
      </w:r>
    </w:p>
    <w:p w14:paraId="25A851D2" w14:textId="77777777" w:rsidR="009C1C5E" w:rsidRDefault="009C1C5E" w:rsidP="00D33B9A">
      <w:pPr>
        <w:spacing w:after="0"/>
        <w:rPr>
          <w:rFonts w:cs="Arial"/>
        </w:rPr>
      </w:pPr>
    </w:p>
    <w:p w14:paraId="327B5B03" w14:textId="067F6107" w:rsidR="00C56346" w:rsidRDefault="004F54B5" w:rsidP="002B01B1">
      <w:pPr>
        <w:spacing w:after="0"/>
        <w:ind w:left="720"/>
        <w:rPr>
          <w:rFonts w:cs="Arial"/>
        </w:rPr>
      </w:pPr>
      <w:r>
        <w:rPr>
          <w:rFonts w:cs="Arial"/>
        </w:rPr>
        <w:t xml:space="preserve">6.4 </w:t>
      </w:r>
      <w:r w:rsidR="00C56346" w:rsidRPr="00C56346">
        <w:rPr>
          <w:rFonts w:cs="Arial"/>
        </w:rPr>
        <w:t>Cherwell residents who have an Oxford local connection would need to complete an Oxford City Council housing application form in order to be considered for the properties. Cherwell housing applicants will be advised of the additional opportunity afforded to them should they indicate an Oxford local connection on their Cherwell housing application form. This option removes most of the administrative burden on Cherwell D</w:t>
      </w:r>
      <w:r w:rsidR="009C1C5E">
        <w:rPr>
          <w:rFonts w:cs="Arial"/>
        </w:rPr>
        <w:t xml:space="preserve">istrict </w:t>
      </w:r>
      <w:r w:rsidR="00C56346" w:rsidRPr="00C56346">
        <w:rPr>
          <w:rFonts w:cs="Arial"/>
        </w:rPr>
        <w:t>C</w:t>
      </w:r>
      <w:r w:rsidR="009C1C5E">
        <w:rPr>
          <w:rFonts w:cs="Arial"/>
        </w:rPr>
        <w:t>ouncil</w:t>
      </w:r>
      <w:r w:rsidR="00C56346" w:rsidRPr="00C56346">
        <w:rPr>
          <w:rFonts w:cs="Arial"/>
        </w:rPr>
        <w:t xml:space="preserve"> and shifts statutory housing functions and control of the allocation of the properties</w:t>
      </w:r>
      <w:r w:rsidR="00E645FC">
        <w:rPr>
          <w:rFonts w:cs="Arial"/>
        </w:rPr>
        <w:t>,</w:t>
      </w:r>
      <w:r w:rsidR="00C56346" w:rsidRPr="00C56346">
        <w:rPr>
          <w:rFonts w:cs="Arial"/>
        </w:rPr>
        <w:t xml:space="preserve"> on these sites only</w:t>
      </w:r>
      <w:r w:rsidR="00E645FC">
        <w:rPr>
          <w:rFonts w:cs="Arial"/>
        </w:rPr>
        <w:t>,</w:t>
      </w:r>
      <w:r w:rsidR="00C56346" w:rsidRPr="00C56346">
        <w:rPr>
          <w:rFonts w:cs="Arial"/>
        </w:rPr>
        <w:t xml:space="preserve"> to Oxford City Council.</w:t>
      </w:r>
    </w:p>
    <w:p w14:paraId="346EC52E" w14:textId="77777777" w:rsidR="00026816" w:rsidRPr="00C56346" w:rsidRDefault="00026816" w:rsidP="00D33B9A">
      <w:pPr>
        <w:spacing w:after="0"/>
        <w:rPr>
          <w:rFonts w:cs="Arial"/>
        </w:rPr>
      </w:pPr>
    </w:p>
    <w:p w14:paraId="1B6CD46A" w14:textId="5FB9F9A5" w:rsidR="009C1C5E" w:rsidRDefault="004F54B5" w:rsidP="00D33B9A">
      <w:pPr>
        <w:spacing w:after="0"/>
        <w:ind w:left="720"/>
        <w:rPr>
          <w:rFonts w:cs="Arial"/>
        </w:rPr>
      </w:pPr>
      <w:r>
        <w:rPr>
          <w:rFonts w:cs="Arial"/>
        </w:rPr>
        <w:t xml:space="preserve">6.5 </w:t>
      </w:r>
      <w:r w:rsidR="009C1C5E">
        <w:rPr>
          <w:rFonts w:cs="Arial"/>
        </w:rPr>
        <w:t>D</w:t>
      </w:r>
      <w:r w:rsidR="00C56346" w:rsidRPr="00C56346">
        <w:rPr>
          <w:rFonts w:cs="Arial"/>
        </w:rPr>
        <w:t xml:space="preserve">iscussions </w:t>
      </w:r>
      <w:r w:rsidR="009C1C5E">
        <w:rPr>
          <w:rFonts w:cs="Arial"/>
        </w:rPr>
        <w:t xml:space="preserve">between officers </w:t>
      </w:r>
      <w:r w:rsidR="00C56346" w:rsidRPr="00C56346">
        <w:rPr>
          <w:rFonts w:cs="Arial"/>
        </w:rPr>
        <w:t>have consider</w:t>
      </w:r>
      <w:r w:rsidR="009C1C5E">
        <w:rPr>
          <w:rFonts w:cs="Arial"/>
        </w:rPr>
        <w:t>ed</w:t>
      </w:r>
      <w:r w:rsidR="00C56346" w:rsidRPr="00C56346">
        <w:rPr>
          <w:rFonts w:cs="Arial"/>
        </w:rPr>
        <w:t xml:space="preserve"> a local lettings plan for the </w:t>
      </w:r>
      <w:r w:rsidR="009C1C5E">
        <w:rPr>
          <w:rFonts w:cs="Arial"/>
        </w:rPr>
        <w:t xml:space="preserve">Cherwell </w:t>
      </w:r>
      <w:r w:rsidR="00C56346" w:rsidRPr="00C56346">
        <w:rPr>
          <w:rFonts w:cs="Arial"/>
        </w:rPr>
        <w:t>sites to ensure that a balanced and mixed community is established from the outset. Such a lettings plan would balance provision to meet the housing needs of the city’s homeless households, households in need of affordable general needs housing and housing transfer applicants. It could also incorporate opportunities to allocate a proportion of housing to health, social care, education, police and other key worker personnel. A clear, joint communication strategy w</w:t>
      </w:r>
      <w:r w:rsidR="009C1C5E">
        <w:rPr>
          <w:rFonts w:cs="Arial"/>
        </w:rPr>
        <w:t>ould</w:t>
      </w:r>
      <w:r w:rsidR="00C56346" w:rsidRPr="00C56346">
        <w:rPr>
          <w:rFonts w:cs="Arial"/>
        </w:rPr>
        <w:t xml:space="preserve"> ensure that all customers are aware of the arrangements should this option be implemented.</w:t>
      </w:r>
    </w:p>
    <w:p w14:paraId="164D742E" w14:textId="77777777" w:rsidR="00026816" w:rsidRDefault="00026816" w:rsidP="00D33B9A">
      <w:pPr>
        <w:spacing w:after="0"/>
        <w:rPr>
          <w:rFonts w:cs="Arial"/>
        </w:rPr>
      </w:pPr>
    </w:p>
    <w:p w14:paraId="1D465DA6" w14:textId="162BBC02" w:rsidR="00E87F7A" w:rsidRDefault="004F54B5" w:rsidP="00D33B9A">
      <w:pPr>
        <w:spacing w:before="240" w:after="0"/>
        <w:outlineLvl w:val="0"/>
        <w:rPr>
          <w:rFonts w:cs="Arial"/>
          <w:b/>
        </w:rPr>
      </w:pPr>
      <w:r>
        <w:rPr>
          <w:rFonts w:cs="Arial"/>
          <w:b/>
        </w:rPr>
        <w:t>7.0</w:t>
      </w:r>
      <w:r w:rsidR="001376F0">
        <w:rPr>
          <w:rFonts w:cs="Arial"/>
          <w:b/>
        </w:rPr>
        <w:tab/>
      </w:r>
      <w:r w:rsidR="00E87F7A" w:rsidRPr="008C52A8">
        <w:rPr>
          <w:rFonts w:cs="Arial"/>
          <w:b/>
        </w:rPr>
        <w:t xml:space="preserve">Other implications </w:t>
      </w:r>
    </w:p>
    <w:p w14:paraId="575E69EF" w14:textId="77777777" w:rsidR="00E645FC" w:rsidRPr="008C52A8" w:rsidRDefault="00E645FC" w:rsidP="00D33B9A">
      <w:pPr>
        <w:spacing w:before="240" w:after="0"/>
        <w:outlineLvl w:val="0"/>
        <w:rPr>
          <w:rFonts w:cs="Arial"/>
          <w:b/>
        </w:rPr>
      </w:pPr>
    </w:p>
    <w:p w14:paraId="2F837728" w14:textId="352FFB93" w:rsidR="00F55BE0" w:rsidRDefault="004F54B5" w:rsidP="002B01B1">
      <w:pPr>
        <w:pStyle w:val="Bulletpoints"/>
        <w:numPr>
          <w:ilvl w:val="0"/>
          <w:numId w:val="0"/>
        </w:numPr>
        <w:spacing w:after="0"/>
        <w:ind w:left="360"/>
        <w:rPr>
          <w:rFonts w:cs="Arial"/>
        </w:rPr>
      </w:pPr>
      <w:r>
        <w:rPr>
          <w:rFonts w:cs="Arial"/>
        </w:rPr>
        <w:t xml:space="preserve">7.1 </w:t>
      </w:r>
      <w:r w:rsidR="00C85B4E" w:rsidRPr="008C52A8">
        <w:rPr>
          <w:rFonts w:cs="Arial"/>
        </w:rPr>
        <w:t>C</w:t>
      </w:r>
      <w:r w:rsidR="00E87F7A" w:rsidRPr="008C52A8">
        <w:rPr>
          <w:rFonts w:cs="Arial"/>
        </w:rPr>
        <w:t xml:space="preserve">onsultation and communications </w:t>
      </w:r>
    </w:p>
    <w:p w14:paraId="5C12D4AF" w14:textId="77777777" w:rsidR="00E645FC" w:rsidRPr="008C52A8" w:rsidRDefault="00E645FC" w:rsidP="00D33B9A">
      <w:pPr>
        <w:pStyle w:val="Bulletpoints"/>
        <w:numPr>
          <w:ilvl w:val="0"/>
          <w:numId w:val="0"/>
        </w:numPr>
        <w:spacing w:after="0"/>
        <w:ind w:left="568"/>
        <w:rPr>
          <w:rFonts w:cs="Arial"/>
        </w:rPr>
      </w:pPr>
    </w:p>
    <w:p w14:paraId="617F08CE" w14:textId="1F336F27" w:rsidR="00E87F7A" w:rsidRPr="008C52A8" w:rsidRDefault="0007200C" w:rsidP="00D33B9A">
      <w:pPr>
        <w:pStyle w:val="Bulletpoints"/>
        <w:numPr>
          <w:ilvl w:val="0"/>
          <w:numId w:val="35"/>
        </w:numPr>
        <w:spacing w:after="0"/>
        <w:rPr>
          <w:rFonts w:cs="Arial"/>
        </w:rPr>
      </w:pPr>
      <w:r>
        <w:rPr>
          <w:rFonts w:cs="Arial"/>
        </w:rPr>
        <w:t xml:space="preserve"> </w:t>
      </w:r>
      <w:r w:rsidR="00F55BE0" w:rsidRPr="008C52A8">
        <w:rPr>
          <w:rFonts w:cs="Arial"/>
        </w:rPr>
        <w:t xml:space="preserve">A joint communication plan will be produced to inform residents, </w:t>
      </w:r>
      <w:r w:rsidR="008B6AD7" w:rsidRPr="008C52A8">
        <w:rPr>
          <w:rFonts w:cs="Arial"/>
        </w:rPr>
        <w:t xml:space="preserve">registered providers, support </w:t>
      </w:r>
      <w:r w:rsidR="00F55BE0" w:rsidRPr="008C52A8">
        <w:rPr>
          <w:rFonts w:cs="Arial"/>
        </w:rPr>
        <w:t>organisations and relevant ward and parish councillors about the development sites</w:t>
      </w:r>
      <w:r w:rsidR="005974F5">
        <w:rPr>
          <w:rFonts w:cs="Arial"/>
        </w:rPr>
        <w:t>,</w:t>
      </w:r>
      <w:r w:rsidR="00F55BE0" w:rsidRPr="008C52A8">
        <w:rPr>
          <w:rFonts w:cs="Arial"/>
        </w:rPr>
        <w:t xml:space="preserve"> </w:t>
      </w:r>
      <w:r w:rsidR="008B6AD7" w:rsidRPr="008C52A8">
        <w:rPr>
          <w:rFonts w:cs="Arial"/>
        </w:rPr>
        <w:t xml:space="preserve">the eligibility criteria </w:t>
      </w:r>
      <w:r w:rsidR="00F55BE0" w:rsidRPr="008C52A8">
        <w:rPr>
          <w:rFonts w:cs="Arial"/>
        </w:rPr>
        <w:t>and how to access the affordable housing.</w:t>
      </w:r>
    </w:p>
    <w:p w14:paraId="6181A76B" w14:textId="67BC6294" w:rsidR="00F55BE0" w:rsidRPr="008C52A8" w:rsidRDefault="00F55BE0" w:rsidP="00D33B9A">
      <w:pPr>
        <w:pStyle w:val="ListParagraph"/>
        <w:numPr>
          <w:ilvl w:val="0"/>
          <w:numId w:val="35"/>
        </w:numPr>
        <w:spacing w:after="0"/>
        <w:rPr>
          <w:rFonts w:cs="Arial"/>
        </w:rPr>
      </w:pPr>
      <w:r w:rsidRPr="008C52A8">
        <w:rPr>
          <w:rFonts w:cs="Arial"/>
        </w:rPr>
        <w:t xml:space="preserve">A ‘Local Lettings Approach’ document detailing how the Council will undertake allocations to these sites is to be developed by </w:t>
      </w:r>
      <w:r w:rsidR="009C1C5E">
        <w:rPr>
          <w:rFonts w:cs="Arial"/>
        </w:rPr>
        <w:t>the</w:t>
      </w:r>
      <w:r w:rsidRPr="008C52A8">
        <w:rPr>
          <w:rFonts w:cs="Arial"/>
        </w:rPr>
        <w:t xml:space="preserve"> Council to be agreed jointly between the </w:t>
      </w:r>
      <w:r w:rsidR="009C1C5E">
        <w:rPr>
          <w:rFonts w:cs="Arial"/>
        </w:rPr>
        <w:t xml:space="preserve">various district </w:t>
      </w:r>
      <w:r w:rsidR="0078509A">
        <w:rPr>
          <w:rFonts w:cs="Arial"/>
        </w:rPr>
        <w:t>c</w:t>
      </w:r>
      <w:r w:rsidRPr="008C52A8">
        <w:rPr>
          <w:rFonts w:cs="Arial"/>
        </w:rPr>
        <w:t xml:space="preserve">ouncils.  In particular, this would seek to ensure effective approaches to </w:t>
      </w:r>
      <w:r w:rsidR="0078509A">
        <w:rPr>
          <w:rFonts w:cs="Arial"/>
        </w:rPr>
        <w:t>achieving</w:t>
      </w:r>
      <w:r w:rsidR="0078509A" w:rsidRPr="008C52A8">
        <w:rPr>
          <w:rFonts w:cs="Arial"/>
        </w:rPr>
        <w:t xml:space="preserve"> </w:t>
      </w:r>
      <w:r w:rsidRPr="008C52A8">
        <w:rPr>
          <w:rFonts w:cs="Arial"/>
        </w:rPr>
        <w:t>balanced, mixed and sustainable communities on these new developments.</w:t>
      </w:r>
    </w:p>
    <w:p w14:paraId="10D920FA" w14:textId="07043AEC" w:rsidR="00E645FC" w:rsidRPr="00E645FC" w:rsidRDefault="0078509A" w:rsidP="00D33B9A">
      <w:pPr>
        <w:pStyle w:val="ListParagraph"/>
        <w:numPr>
          <w:ilvl w:val="0"/>
          <w:numId w:val="35"/>
        </w:numPr>
        <w:spacing w:after="0"/>
        <w:rPr>
          <w:rFonts w:cs="Arial"/>
        </w:rPr>
      </w:pPr>
      <w:r>
        <w:rPr>
          <w:rFonts w:cs="Arial"/>
        </w:rPr>
        <w:t>The</w:t>
      </w:r>
      <w:r w:rsidR="00F55BE0" w:rsidRPr="008C52A8">
        <w:rPr>
          <w:rFonts w:cs="Arial"/>
        </w:rPr>
        <w:t xml:space="preserve"> Council will monitor nominations and undertake to report back lettings data on the</w:t>
      </w:r>
      <w:r>
        <w:rPr>
          <w:rFonts w:cs="Arial"/>
        </w:rPr>
        <w:t xml:space="preserve"> relevant</w:t>
      </w:r>
      <w:r w:rsidR="00F55BE0" w:rsidRPr="008C52A8">
        <w:rPr>
          <w:rFonts w:cs="Arial"/>
        </w:rPr>
        <w:t xml:space="preserve"> sites to Cherwell District Council.</w:t>
      </w:r>
    </w:p>
    <w:p w14:paraId="48551666" w14:textId="77777777" w:rsidR="00E645FC" w:rsidRDefault="00E645FC" w:rsidP="00D33B9A">
      <w:pPr>
        <w:pStyle w:val="Bulletpoints"/>
        <w:numPr>
          <w:ilvl w:val="0"/>
          <w:numId w:val="0"/>
        </w:numPr>
        <w:spacing w:after="0"/>
        <w:ind w:left="425" w:hanging="425"/>
        <w:rPr>
          <w:rFonts w:cs="Arial"/>
        </w:rPr>
      </w:pPr>
    </w:p>
    <w:p w14:paraId="1F0FA7DE" w14:textId="0CD3072E" w:rsidR="00F55BE0" w:rsidRDefault="004F54B5" w:rsidP="002B01B1">
      <w:pPr>
        <w:pStyle w:val="Bulletpoints"/>
        <w:numPr>
          <w:ilvl w:val="0"/>
          <w:numId w:val="0"/>
        </w:numPr>
        <w:spacing w:after="0"/>
        <w:ind w:left="785" w:hanging="425"/>
        <w:rPr>
          <w:rFonts w:cs="Arial"/>
        </w:rPr>
      </w:pPr>
      <w:r>
        <w:rPr>
          <w:rFonts w:cs="Arial"/>
        </w:rPr>
        <w:t xml:space="preserve">7.2 </w:t>
      </w:r>
      <w:r w:rsidR="00F55BE0" w:rsidRPr="008C52A8">
        <w:rPr>
          <w:rFonts w:cs="Arial"/>
        </w:rPr>
        <w:t>Governance and Review</w:t>
      </w:r>
    </w:p>
    <w:p w14:paraId="597615C3" w14:textId="77777777" w:rsidR="00E645FC" w:rsidRPr="008C52A8" w:rsidRDefault="00E645FC" w:rsidP="002B01B1">
      <w:pPr>
        <w:pStyle w:val="Bulletpoints"/>
        <w:numPr>
          <w:ilvl w:val="0"/>
          <w:numId w:val="0"/>
        </w:numPr>
        <w:spacing w:after="0"/>
        <w:ind w:left="993" w:hanging="425"/>
        <w:rPr>
          <w:rFonts w:cs="Arial"/>
        </w:rPr>
      </w:pPr>
    </w:p>
    <w:p w14:paraId="36A7B93B" w14:textId="3B5E5B27" w:rsidR="00F55BE0" w:rsidRPr="008C52A8" w:rsidRDefault="00DC01C4" w:rsidP="002B01B1">
      <w:pPr>
        <w:pStyle w:val="Bulletpoints"/>
        <w:numPr>
          <w:ilvl w:val="0"/>
          <w:numId w:val="36"/>
        </w:numPr>
        <w:spacing w:after="0"/>
        <w:ind w:left="1080"/>
        <w:rPr>
          <w:rFonts w:cs="Arial"/>
        </w:rPr>
      </w:pPr>
      <w:r w:rsidRPr="008C52A8">
        <w:rPr>
          <w:rFonts w:cs="Arial"/>
        </w:rPr>
        <w:t xml:space="preserve">An officer steering group </w:t>
      </w:r>
      <w:r w:rsidR="0078509A">
        <w:rPr>
          <w:rFonts w:cs="Arial"/>
        </w:rPr>
        <w:t>is</w:t>
      </w:r>
      <w:r w:rsidR="0078509A" w:rsidRPr="008C52A8">
        <w:rPr>
          <w:rFonts w:cs="Arial"/>
        </w:rPr>
        <w:t xml:space="preserve"> </w:t>
      </w:r>
      <w:r w:rsidRPr="008C52A8">
        <w:rPr>
          <w:rFonts w:cs="Arial"/>
        </w:rPr>
        <w:t xml:space="preserve">working to prepare a draft agreement between </w:t>
      </w:r>
      <w:r w:rsidR="002B01B1">
        <w:rPr>
          <w:rFonts w:cs="Arial"/>
        </w:rPr>
        <w:t>the Council</w:t>
      </w:r>
      <w:r w:rsidR="0078509A" w:rsidRPr="008C52A8">
        <w:rPr>
          <w:rFonts w:cs="Arial"/>
        </w:rPr>
        <w:t xml:space="preserve"> </w:t>
      </w:r>
      <w:r w:rsidRPr="008C52A8">
        <w:rPr>
          <w:rFonts w:cs="Arial"/>
        </w:rPr>
        <w:t>and C</w:t>
      </w:r>
      <w:r w:rsidR="0078509A">
        <w:rPr>
          <w:rFonts w:cs="Arial"/>
        </w:rPr>
        <w:t xml:space="preserve">herwell </w:t>
      </w:r>
      <w:r w:rsidRPr="008C52A8">
        <w:rPr>
          <w:rFonts w:cs="Arial"/>
        </w:rPr>
        <w:t>D</w:t>
      </w:r>
      <w:r w:rsidR="0078509A">
        <w:rPr>
          <w:rFonts w:cs="Arial"/>
        </w:rPr>
        <w:t xml:space="preserve">istrict </w:t>
      </w:r>
      <w:r w:rsidRPr="008C52A8">
        <w:rPr>
          <w:rFonts w:cs="Arial"/>
        </w:rPr>
        <w:t>C</w:t>
      </w:r>
      <w:r w:rsidR="0078509A">
        <w:rPr>
          <w:rFonts w:cs="Arial"/>
        </w:rPr>
        <w:t>ouncil</w:t>
      </w:r>
      <w:r w:rsidRPr="008C52A8">
        <w:rPr>
          <w:rFonts w:cs="Arial"/>
        </w:rPr>
        <w:t xml:space="preserve"> for consideration.</w:t>
      </w:r>
    </w:p>
    <w:p w14:paraId="5B79CE25" w14:textId="297BBC1E" w:rsidR="00A3240E" w:rsidRPr="008C52A8" w:rsidRDefault="00A3240E" w:rsidP="002B01B1">
      <w:pPr>
        <w:pStyle w:val="Bulletpoints"/>
        <w:numPr>
          <w:ilvl w:val="0"/>
          <w:numId w:val="36"/>
        </w:numPr>
        <w:spacing w:after="0"/>
        <w:ind w:left="1080"/>
        <w:rPr>
          <w:rFonts w:cs="Arial"/>
        </w:rPr>
      </w:pPr>
      <w:r w:rsidRPr="008C52A8">
        <w:rPr>
          <w:rFonts w:cs="Arial"/>
        </w:rPr>
        <w:t>The agreement will cover the reporting mechanism for the number of dwellings let per quarter, the local connection criteria for each letting and</w:t>
      </w:r>
      <w:r w:rsidR="0078509A">
        <w:rPr>
          <w:rFonts w:cs="Arial"/>
        </w:rPr>
        <w:t>,</w:t>
      </w:r>
      <w:r w:rsidRPr="008C52A8">
        <w:rPr>
          <w:rFonts w:cs="Arial"/>
        </w:rPr>
        <w:t xml:space="preserve"> where not allocated to an </w:t>
      </w:r>
      <w:r w:rsidR="0078509A">
        <w:rPr>
          <w:rFonts w:cs="Arial"/>
        </w:rPr>
        <w:t>Oxford</w:t>
      </w:r>
      <w:r w:rsidR="0078509A" w:rsidRPr="008C52A8">
        <w:rPr>
          <w:rFonts w:cs="Arial"/>
        </w:rPr>
        <w:t xml:space="preserve"> </w:t>
      </w:r>
      <w:r w:rsidRPr="008C52A8">
        <w:rPr>
          <w:rFonts w:cs="Arial"/>
        </w:rPr>
        <w:t>resident</w:t>
      </w:r>
      <w:r w:rsidR="0078509A">
        <w:rPr>
          <w:rFonts w:cs="Arial"/>
        </w:rPr>
        <w:t>,</w:t>
      </w:r>
      <w:r w:rsidRPr="008C52A8">
        <w:rPr>
          <w:rFonts w:cs="Arial"/>
        </w:rPr>
        <w:t xml:space="preserve"> the numbe</w:t>
      </w:r>
      <w:r w:rsidR="00755305" w:rsidRPr="008C52A8">
        <w:rPr>
          <w:rFonts w:cs="Arial"/>
        </w:rPr>
        <w:t xml:space="preserve">r of dwellings re-allocated to </w:t>
      </w:r>
      <w:r w:rsidRPr="008C52A8">
        <w:rPr>
          <w:rFonts w:cs="Arial"/>
        </w:rPr>
        <w:t>C</w:t>
      </w:r>
      <w:r w:rsidR="0078509A">
        <w:rPr>
          <w:rFonts w:cs="Arial"/>
        </w:rPr>
        <w:t xml:space="preserve">herwell </w:t>
      </w:r>
      <w:r w:rsidRPr="008C52A8">
        <w:rPr>
          <w:rFonts w:cs="Arial"/>
        </w:rPr>
        <w:t>D</w:t>
      </w:r>
      <w:r w:rsidR="0078509A">
        <w:rPr>
          <w:rFonts w:cs="Arial"/>
        </w:rPr>
        <w:t xml:space="preserve">istrict </w:t>
      </w:r>
      <w:r w:rsidR="00755305" w:rsidRPr="008C52A8">
        <w:rPr>
          <w:rFonts w:cs="Arial"/>
        </w:rPr>
        <w:t>C</w:t>
      </w:r>
      <w:r w:rsidR="0078509A">
        <w:rPr>
          <w:rFonts w:cs="Arial"/>
        </w:rPr>
        <w:t>ounc</w:t>
      </w:r>
      <w:r w:rsidR="00275939">
        <w:rPr>
          <w:rFonts w:cs="Arial"/>
        </w:rPr>
        <w:t>i</w:t>
      </w:r>
      <w:r w:rsidR="0078509A">
        <w:rPr>
          <w:rFonts w:cs="Arial"/>
        </w:rPr>
        <w:t>l</w:t>
      </w:r>
      <w:r w:rsidRPr="008C52A8">
        <w:rPr>
          <w:rFonts w:cs="Arial"/>
        </w:rPr>
        <w:t xml:space="preserve"> for letting through their choice based lettings system.</w:t>
      </w:r>
      <w:r w:rsidR="00755305" w:rsidRPr="008C52A8">
        <w:rPr>
          <w:rFonts w:cs="Arial"/>
        </w:rPr>
        <w:t xml:space="preserve"> </w:t>
      </w:r>
    </w:p>
    <w:p w14:paraId="6AE646BE" w14:textId="35D30DFA" w:rsidR="00755305" w:rsidRPr="008C52A8" w:rsidRDefault="00755305" w:rsidP="002B01B1">
      <w:pPr>
        <w:pStyle w:val="Bulletpoints"/>
        <w:numPr>
          <w:ilvl w:val="0"/>
          <w:numId w:val="36"/>
        </w:numPr>
        <w:spacing w:after="0"/>
        <w:ind w:left="1080"/>
        <w:rPr>
          <w:rFonts w:cs="Arial"/>
        </w:rPr>
      </w:pPr>
      <w:r w:rsidRPr="008C52A8">
        <w:rPr>
          <w:rFonts w:cs="Arial"/>
        </w:rPr>
        <w:lastRenderedPageBreak/>
        <w:t>In addition</w:t>
      </w:r>
      <w:r w:rsidR="005974F5">
        <w:rPr>
          <w:rFonts w:cs="Arial"/>
        </w:rPr>
        <w:t>,</w:t>
      </w:r>
      <w:r w:rsidRPr="008C52A8">
        <w:rPr>
          <w:rFonts w:cs="Arial"/>
        </w:rPr>
        <w:t xml:space="preserve"> as </w:t>
      </w:r>
      <w:r w:rsidR="0078509A">
        <w:rPr>
          <w:rFonts w:cs="Arial"/>
        </w:rPr>
        <w:t xml:space="preserve">it is intended that </w:t>
      </w:r>
      <w:r w:rsidRPr="008C52A8">
        <w:rPr>
          <w:rFonts w:cs="Arial"/>
        </w:rPr>
        <w:t xml:space="preserve">the agreement </w:t>
      </w:r>
      <w:r w:rsidR="0078509A">
        <w:rPr>
          <w:rFonts w:cs="Arial"/>
        </w:rPr>
        <w:t xml:space="preserve">will cover a </w:t>
      </w:r>
      <w:r w:rsidRPr="008C52A8">
        <w:rPr>
          <w:rFonts w:cs="Arial"/>
        </w:rPr>
        <w:t xml:space="preserve">period </w:t>
      </w:r>
      <w:r w:rsidR="0078509A">
        <w:rPr>
          <w:rFonts w:cs="Arial"/>
        </w:rPr>
        <w:t xml:space="preserve">of </w:t>
      </w:r>
      <w:r w:rsidRPr="008C52A8">
        <w:rPr>
          <w:rFonts w:cs="Arial"/>
        </w:rPr>
        <w:t>10 years, it is anticipated that there will be a number of re-lets as residents</w:t>
      </w:r>
      <w:r w:rsidR="0078509A">
        <w:rPr>
          <w:rFonts w:cs="Arial"/>
        </w:rPr>
        <w:t>’</w:t>
      </w:r>
      <w:r w:rsidRPr="008C52A8">
        <w:rPr>
          <w:rFonts w:cs="Arial"/>
        </w:rPr>
        <w:t xml:space="preserve"> needs change and these will also be accounted for in the report.</w:t>
      </w:r>
    </w:p>
    <w:p w14:paraId="1F34D70B" w14:textId="334673F8" w:rsidR="00A3240E" w:rsidRPr="008C52A8" w:rsidRDefault="00A3240E" w:rsidP="002B01B1">
      <w:pPr>
        <w:pStyle w:val="Bulletpoints"/>
        <w:numPr>
          <w:ilvl w:val="0"/>
          <w:numId w:val="36"/>
        </w:numPr>
        <w:spacing w:after="0"/>
        <w:ind w:left="1080"/>
        <w:rPr>
          <w:rFonts w:cs="Arial"/>
        </w:rPr>
      </w:pPr>
      <w:r w:rsidRPr="008C52A8">
        <w:rPr>
          <w:rFonts w:cs="Arial"/>
        </w:rPr>
        <w:t>The monitoring report to be provided on a quarterly basis with an annual review and mid-term review (after 5 years) to check the allocations mechanism is still fit for purpose</w:t>
      </w:r>
      <w:r w:rsidR="00755305" w:rsidRPr="008C52A8">
        <w:rPr>
          <w:rFonts w:cs="Arial"/>
        </w:rPr>
        <w:t>, and can be adjusted if</w:t>
      </w:r>
      <w:r w:rsidRPr="008C52A8">
        <w:rPr>
          <w:rFonts w:cs="Arial"/>
        </w:rPr>
        <w:t xml:space="preserve"> necessary.</w:t>
      </w:r>
      <w:r w:rsidR="00275939">
        <w:rPr>
          <w:rFonts w:cs="Arial"/>
        </w:rPr>
        <w:t xml:space="preserve"> A report detailing the numbers of units </w:t>
      </w:r>
      <w:r w:rsidR="0024221B">
        <w:rPr>
          <w:rFonts w:cs="Arial"/>
        </w:rPr>
        <w:t xml:space="preserve">offered and </w:t>
      </w:r>
      <w:r w:rsidR="00275939">
        <w:rPr>
          <w:rFonts w:cs="Arial"/>
        </w:rPr>
        <w:t>allocated to Oxford residents</w:t>
      </w:r>
      <w:r w:rsidR="0024221B">
        <w:rPr>
          <w:rFonts w:cs="Arial"/>
        </w:rPr>
        <w:t>, including re-lets,</w:t>
      </w:r>
      <w:r w:rsidR="00275939">
        <w:rPr>
          <w:rFonts w:cs="Arial"/>
        </w:rPr>
        <w:t xml:space="preserve"> in each local authority area versus the </w:t>
      </w:r>
      <w:r w:rsidR="0024221B">
        <w:rPr>
          <w:rFonts w:cs="Arial"/>
        </w:rPr>
        <w:t xml:space="preserve">target </w:t>
      </w:r>
      <w:r w:rsidR="00275939">
        <w:rPr>
          <w:rFonts w:cs="Arial"/>
        </w:rPr>
        <w:t>allocation will be provided to Cabinet on an annual basis.</w:t>
      </w:r>
    </w:p>
    <w:p w14:paraId="03491668" w14:textId="77777777" w:rsidR="00E645FC" w:rsidRDefault="00E645FC" w:rsidP="002B01B1">
      <w:pPr>
        <w:pStyle w:val="Bulletpoints"/>
        <w:numPr>
          <w:ilvl w:val="0"/>
          <w:numId w:val="0"/>
        </w:numPr>
        <w:spacing w:after="0"/>
        <w:ind w:left="360"/>
        <w:rPr>
          <w:rFonts w:cs="Arial"/>
        </w:rPr>
      </w:pPr>
    </w:p>
    <w:p w14:paraId="492A89C0" w14:textId="16C71BD9" w:rsidR="00E87F7A" w:rsidRDefault="004F54B5" w:rsidP="002B01B1">
      <w:pPr>
        <w:pStyle w:val="Bulletpoints"/>
        <w:numPr>
          <w:ilvl w:val="0"/>
          <w:numId w:val="0"/>
        </w:numPr>
        <w:spacing w:after="0"/>
        <w:ind w:left="360"/>
        <w:rPr>
          <w:rFonts w:cs="Arial"/>
        </w:rPr>
      </w:pPr>
      <w:r>
        <w:rPr>
          <w:rFonts w:cs="Arial"/>
        </w:rPr>
        <w:t xml:space="preserve">7.3 </w:t>
      </w:r>
      <w:r w:rsidR="00C85B4E" w:rsidRPr="008678E7">
        <w:rPr>
          <w:rFonts w:cs="Arial"/>
        </w:rPr>
        <w:t>H</w:t>
      </w:r>
      <w:r w:rsidR="00E87F7A" w:rsidRPr="008678E7">
        <w:rPr>
          <w:rFonts w:cs="Arial"/>
        </w:rPr>
        <w:t xml:space="preserve">uman resources  </w:t>
      </w:r>
    </w:p>
    <w:p w14:paraId="25ED54F9" w14:textId="77777777" w:rsidR="00E645FC" w:rsidRPr="008678E7" w:rsidRDefault="00E645FC" w:rsidP="002B01B1">
      <w:pPr>
        <w:pStyle w:val="Bulletpoints"/>
        <w:numPr>
          <w:ilvl w:val="0"/>
          <w:numId w:val="0"/>
        </w:numPr>
        <w:spacing w:after="0"/>
        <w:ind w:left="360"/>
        <w:rPr>
          <w:rFonts w:cs="Arial"/>
        </w:rPr>
      </w:pPr>
    </w:p>
    <w:p w14:paraId="7FF372E6" w14:textId="3014807D" w:rsidR="00DC01C4" w:rsidRPr="008678E7" w:rsidRDefault="008678E7" w:rsidP="002B01B1">
      <w:pPr>
        <w:pStyle w:val="Bulletpoints"/>
        <w:numPr>
          <w:ilvl w:val="0"/>
          <w:numId w:val="39"/>
        </w:numPr>
        <w:spacing w:after="0"/>
        <w:ind w:left="1080"/>
        <w:rPr>
          <w:rFonts w:cs="Arial"/>
        </w:rPr>
      </w:pPr>
      <w:r>
        <w:rPr>
          <w:rFonts w:cs="Arial"/>
        </w:rPr>
        <w:t>There are no additional human resources requirements.</w:t>
      </w:r>
    </w:p>
    <w:p w14:paraId="631A0A5F" w14:textId="77777777" w:rsidR="004A3068" w:rsidRDefault="004A3068" w:rsidP="002B01B1">
      <w:pPr>
        <w:pStyle w:val="Heading1"/>
        <w:spacing w:after="0"/>
        <w:ind w:left="360"/>
        <w:rPr>
          <w:rFonts w:cs="Arial"/>
        </w:rPr>
      </w:pPr>
    </w:p>
    <w:p w14:paraId="398BCDD4" w14:textId="6F8406C8" w:rsidR="0040736F" w:rsidRDefault="004F54B5" w:rsidP="00D33B9A">
      <w:pPr>
        <w:pStyle w:val="Heading1"/>
        <w:spacing w:after="0"/>
        <w:rPr>
          <w:rFonts w:cs="Arial"/>
        </w:rPr>
      </w:pPr>
      <w:r>
        <w:rPr>
          <w:rFonts w:cs="Arial"/>
        </w:rPr>
        <w:t>8.0</w:t>
      </w:r>
      <w:r>
        <w:rPr>
          <w:rFonts w:cs="Arial"/>
        </w:rPr>
        <w:tab/>
      </w:r>
      <w:r w:rsidR="002329CF" w:rsidRPr="008C52A8">
        <w:rPr>
          <w:rFonts w:cs="Arial"/>
        </w:rPr>
        <w:t>Financial implications</w:t>
      </w:r>
    </w:p>
    <w:p w14:paraId="1CE188FD" w14:textId="77777777" w:rsidR="00E645FC" w:rsidRPr="00E645FC" w:rsidRDefault="00E645FC" w:rsidP="00D33B9A">
      <w:pPr>
        <w:spacing w:after="0"/>
      </w:pPr>
    </w:p>
    <w:p w14:paraId="436403A0" w14:textId="31DFBF85" w:rsidR="00534767" w:rsidRPr="008C52A8" w:rsidRDefault="00534767" w:rsidP="00D33B9A">
      <w:pPr>
        <w:spacing w:after="0"/>
        <w:rPr>
          <w:rFonts w:cs="Arial"/>
        </w:rPr>
      </w:pPr>
      <w:r w:rsidRPr="008C52A8">
        <w:rPr>
          <w:rFonts w:cs="Arial"/>
        </w:rPr>
        <w:t>No additional financial costs expected</w:t>
      </w:r>
      <w:r w:rsidR="008678E7">
        <w:rPr>
          <w:rFonts w:cs="Arial"/>
        </w:rPr>
        <w:t>.</w:t>
      </w:r>
    </w:p>
    <w:p w14:paraId="32FB05CB" w14:textId="77777777" w:rsidR="004A3068" w:rsidRDefault="004A3068" w:rsidP="00D33B9A">
      <w:pPr>
        <w:pStyle w:val="Heading1"/>
        <w:spacing w:before="0" w:after="0"/>
        <w:rPr>
          <w:rFonts w:cs="Arial"/>
        </w:rPr>
      </w:pPr>
    </w:p>
    <w:p w14:paraId="6EEBE125" w14:textId="37051447" w:rsidR="0040736F" w:rsidRPr="008C52A8" w:rsidRDefault="004F54B5" w:rsidP="00D33B9A">
      <w:pPr>
        <w:pStyle w:val="Heading1"/>
        <w:spacing w:before="0" w:after="0"/>
        <w:rPr>
          <w:rFonts w:cs="Arial"/>
        </w:rPr>
      </w:pPr>
      <w:r>
        <w:rPr>
          <w:rFonts w:cs="Arial"/>
        </w:rPr>
        <w:t>9.0</w:t>
      </w:r>
      <w:r>
        <w:rPr>
          <w:rFonts w:cs="Arial"/>
        </w:rPr>
        <w:tab/>
      </w:r>
      <w:r w:rsidR="00DA614B" w:rsidRPr="008C52A8">
        <w:rPr>
          <w:rFonts w:cs="Arial"/>
        </w:rPr>
        <w:t>Legal issues</w:t>
      </w:r>
    </w:p>
    <w:p w14:paraId="135102B1" w14:textId="77777777" w:rsidR="00E645FC" w:rsidRDefault="00E645FC" w:rsidP="008B6AD7">
      <w:pPr>
        <w:rPr>
          <w:rFonts w:cs="Arial"/>
        </w:rPr>
      </w:pPr>
    </w:p>
    <w:p w14:paraId="6A294857" w14:textId="5F915D8A" w:rsidR="008B6AD7" w:rsidRPr="008C52A8" w:rsidRDefault="004F54B5" w:rsidP="002B01B1">
      <w:pPr>
        <w:spacing w:after="0"/>
        <w:ind w:left="720"/>
        <w:rPr>
          <w:rFonts w:cs="Arial"/>
        </w:rPr>
      </w:pPr>
      <w:r>
        <w:rPr>
          <w:rFonts w:cs="Arial"/>
        </w:rPr>
        <w:t xml:space="preserve">9.1 </w:t>
      </w:r>
      <w:r>
        <w:rPr>
          <w:rFonts w:cs="Arial"/>
        </w:rPr>
        <w:tab/>
      </w:r>
      <w:r w:rsidR="008B6AD7" w:rsidRPr="008C52A8">
        <w:rPr>
          <w:rFonts w:cs="Arial"/>
        </w:rPr>
        <w:t xml:space="preserve">The agreement to utilise sites within </w:t>
      </w:r>
      <w:r w:rsidR="00175BC6">
        <w:rPr>
          <w:rFonts w:cs="Arial"/>
        </w:rPr>
        <w:t xml:space="preserve">the </w:t>
      </w:r>
      <w:r w:rsidR="008B6AD7" w:rsidRPr="008C52A8">
        <w:rPr>
          <w:rFonts w:cs="Arial"/>
        </w:rPr>
        <w:t xml:space="preserve">Cherwell </w:t>
      </w:r>
      <w:r w:rsidR="00175BC6">
        <w:rPr>
          <w:rFonts w:cs="Arial"/>
        </w:rPr>
        <w:t>d</w:t>
      </w:r>
      <w:r w:rsidR="008B6AD7" w:rsidRPr="008C52A8">
        <w:rPr>
          <w:rFonts w:cs="Arial"/>
        </w:rPr>
        <w:t>istrict to provide housing, including affordable housing to meet an apportionment of Oxford’s u</w:t>
      </w:r>
      <w:r w:rsidR="00041BB8" w:rsidRPr="008C52A8">
        <w:rPr>
          <w:rFonts w:cs="Arial"/>
        </w:rPr>
        <w:t>nmet need is</w:t>
      </w:r>
      <w:r w:rsidR="008B6AD7" w:rsidRPr="008C52A8">
        <w:rPr>
          <w:rFonts w:cs="Arial"/>
        </w:rPr>
        <w:t xml:space="preserve"> already in place </w:t>
      </w:r>
      <w:r w:rsidR="00A60CD6">
        <w:rPr>
          <w:rFonts w:cs="Arial"/>
        </w:rPr>
        <w:t>(T</w:t>
      </w:r>
      <w:r w:rsidR="008B6AD7" w:rsidRPr="008C52A8">
        <w:rPr>
          <w:rFonts w:cs="Arial"/>
        </w:rPr>
        <w:t xml:space="preserve">he </w:t>
      </w:r>
      <w:r w:rsidR="00A60CD6">
        <w:rPr>
          <w:rFonts w:cs="Arial"/>
        </w:rPr>
        <w:t xml:space="preserve">Oxfordshire Housing and </w:t>
      </w:r>
      <w:r w:rsidR="008B6AD7" w:rsidRPr="008C52A8">
        <w:rPr>
          <w:rFonts w:cs="Arial"/>
        </w:rPr>
        <w:t xml:space="preserve">Growth </w:t>
      </w:r>
      <w:r w:rsidR="00A60CD6">
        <w:rPr>
          <w:rFonts w:cs="Arial"/>
        </w:rPr>
        <w:t>Board February 2018)</w:t>
      </w:r>
      <w:r w:rsidR="00E645FC">
        <w:rPr>
          <w:rFonts w:cs="Arial"/>
        </w:rPr>
        <w:t>.</w:t>
      </w:r>
    </w:p>
    <w:p w14:paraId="4361FA8A" w14:textId="77777777" w:rsidR="00E645FC" w:rsidRDefault="00E645FC" w:rsidP="002B01B1">
      <w:pPr>
        <w:spacing w:after="0"/>
        <w:ind w:left="720"/>
        <w:rPr>
          <w:rFonts w:cs="Arial"/>
        </w:rPr>
      </w:pPr>
    </w:p>
    <w:p w14:paraId="4CC93434" w14:textId="4C80C698" w:rsidR="008B6AD7" w:rsidRDefault="004F54B5" w:rsidP="002B01B1">
      <w:pPr>
        <w:spacing w:after="0"/>
        <w:ind w:left="720"/>
        <w:rPr>
          <w:rFonts w:cs="Arial"/>
        </w:rPr>
      </w:pPr>
      <w:r>
        <w:rPr>
          <w:rFonts w:cs="Arial"/>
        </w:rPr>
        <w:t>9.2</w:t>
      </w:r>
      <w:r>
        <w:rPr>
          <w:rFonts w:cs="Arial"/>
        </w:rPr>
        <w:tab/>
      </w:r>
      <w:r w:rsidR="00755305" w:rsidRPr="008C52A8">
        <w:rPr>
          <w:rFonts w:cs="Arial"/>
        </w:rPr>
        <w:t xml:space="preserve">Cherwell District Council has </w:t>
      </w:r>
      <w:r w:rsidR="00175BC6">
        <w:rPr>
          <w:rFonts w:cs="Arial"/>
        </w:rPr>
        <w:t>resolved in principle</w:t>
      </w:r>
      <w:r w:rsidR="00175BC6" w:rsidRPr="008C52A8">
        <w:rPr>
          <w:rFonts w:cs="Arial"/>
        </w:rPr>
        <w:t xml:space="preserve"> </w:t>
      </w:r>
      <w:r w:rsidR="00755305" w:rsidRPr="008C52A8">
        <w:rPr>
          <w:rFonts w:cs="Arial"/>
        </w:rPr>
        <w:t xml:space="preserve">to delegate </w:t>
      </w:r>
      <w:r w:rsidR="00175BC6">
        <w:rPr>
          <w:rFonts w:cs="Arial"/>
        </w:rPr>
        <w:t>its</w:t>
      </w:r>
      <w:r w:rsidR="00175BC6" w:rsidRPr="008C52A8">
        <w:rPr>
          <w:rFonts w:cs="Arial"/>
        </w:rPr>
        <w:t xml:space="preserve"> </w:t>
      </w:r>
      <w:r w:rsidR="00755305" w:rsidRPr="008C52A8">
        <w:rPr>
          <w:rFonts w:cs="Arial"/>
        </w:rPr>
        <w:t xml:space="preserve">executive function under the Housing Act 1996 </w:t>
      </w:r>
      <w:r w:rsidR="006F22BE">
        <w:rPr>
          <w:rFonts w:cs="Arial"/>
        </w:rPr>
        <w:t xml:space="preserve">by way of section 101 of the Local Government Act 1972 </w:t>
      </w:r>
      <w:r w:rsidR="00755305" w:rsidRPr="008C52A8">
        <w:rPr>
          <w:rFonts w:cs="Arial"/>
        </w:rPr>
        <w:t>in respect of specific properties which are identified as being delivered to m</w:t>
      </w:r>
      <w:r w:rsidR="008B6AD7" w:rsidRPr="008C52A8">
        <w:rPr>
          <w:rFonts w:cs="Arial"/>
        </w:rPr>
        <w:t>eet Oxford’s unmet housing need</w:t>
      </w:r>
      <w:r w:rsidR="00175BC6">
        <w:rPr>
          <w:rFonts w:cs="Arial"/>
        </w:rPr>
        <w:t>.</w:t>
      </w:r>
    </w:p>
    <w:p w14:paraId="20D5673D" w14:textId="77777777" w:rsidR="00E645FC" w:rsidRDefault="00E645FC" w:rsidP="002B01B1">
      <w:pPr>
        <w:spacing w:after="0"/>
        <w:ind w:left="720"/>
        <w:rPr>
          <w:rFonts w:cs="Arial"/>
        </w:rPr>
      </w:pPr>
    </w:p>
    <w:p w14:paraId="56A4B1B1" w14:textId="1F273900" w:rsidR="00175BC6" w:rsidRDefault="004F54B5" w:rsidP="002B01B1">
      <w:pPr>
        <w:spacing w:after="0"/>
        <w:ind w:left="720"/>
        <w:rPr>
          <w:rFonts w:cs="Arial"/>
        </w:rPr>
      </w:pPr>
      <w:r>
        <w:rPr>
          <w:rFonts w:cs="Arial"/>
        </w:rPr>
        <w:t>9.3</w:t>
      </w:r>
      <w:r>
        <w:rPr>
          <w:rFonts w:cs="Arial"/>
        </w:rPr>
        <w:tab/>
      </w:r>
      <w:r w:rsidR="00175BC6" w:rsidRPr="00175BC6">
        <w:rPr>
          <w:rFonts w:cs="Arial"/>
        </w:rPr>
        <w:t xml:space="preserve">The proposed delegation will only apply to the functions under the Housing Act 1996 in respect of the specific properties which are identified as being delivered to meet Oxford’s unmet housing need. Cherwell District Council will retain full control and powers over both the development of the housing on those sites, and all other statutory powers and functions arising in respect of such properties.  </w:t>
      </w:r>
    </w:p>
    <w:p w14:paraId="0741B1F0" w14:textId="77777777" w:rsidR="00175BC6" w:rsidRPr="008C52A8" w:rsidRDefault="00175BC6" w:rsidP="002B01B1">
      <w:pPr>
        <w:spacing w:after="0"/>
        <w:ind w:left="720"/>
        <w:rPr>
          <w:rFonts w:cs="Arial"/>
        </w:rPr>
      </w:pPr>
    </w:p>
    <w:p w14:paraId="5DE49FBB" w14:textId="66BE5E4F" w:rsidR="00534767" w:rsidRDefault="004F54B5" w:rsidP="002B01B1">
      <w:pPr>
        <w:spacing w:after="0"/>
        <w:ind w:left="720"/>
        <w:rPr>
          <w:rFonts w:cs="Arial"/>
        </w:rPr>
      </w:pPr>
      <w:r>
        <w:rPr>
          <w:rFonts w:cs="Arial"/>
        </w:rPr>
        <w:t>9.4</w:t>
      </w:r>
      <w:r>
        <w:rPr>
          <w:rFonts w:cs="Arial"/>
        </w:rPr>
        <w:tab/>
      </w:r>
      <w:r w:rsidR="008B6AD7" w:rsidRPr="008C52A8">
        <w:rPr>
          <w:rFonts w:cs="Arial"/>
        </w:rPr>
        <w:t xml:space="preserve">A formal agreement will need to be entered into between Oxford City Council and Cherwell </w:t>
      </w:r>
      <w:r w:rsidR="00175BC6">
        <w:rPr>
          <w:rFonts w:cs="Arial"/>
        </w:rPr>
        <w:t xml:space="preserve">District Council </w:t>
      </w:r>
      <w:r w:rsidR="008B6AD7" w:rsidRPr="008C52A8">
        <w:rPr>
          <w:rFonts w:cs="Arial"/>
        </w:rPr>
        <w:t xml:space="preserve">under sections 9EA and 19 of the Local Government Act 2000 and Regulation 5 of the Local Authorities (Arrangements for the Discharge Functions) (England) </w:t>
      </w:r>
      <w:r w:rsidR="00844CDE" w:rsidRPr="008C52A8">
        <w:rPr>
          <w:rFonts w:cs="Arial"/>
        </w:rPr>
        <w:t>Regulations 2012 to delegate Cherwell</w:t>
      </w:r>
      <w:r w:rsidR="00175BC6">
        <w:rPr>
          <w:rFonts w:cs="Arial"/>
        </w:rPr>
        <w:t xml:space="preserve"> District Council’s </w:t>
      </w:r>
      <w:r w:rsidR="00844CDE" w:rsidRPr="008C52A8">
        <w:rPr>
          <w:rFonts w:cs="Arial"/>
        </w:rPr>
        <w:t>statutory housing powers to the Council in respect of th</w:t>
      </w:r>
      <w:r w:rsidR="00175BC6">
        <w:rPr>
          <w:rFonts w:cs="Arial"/>
        </w:rPr>
        <w:t>o</w:t>
      </w:r>
      <w:r w:rsidR="00844CDE" w:rsidRPr="008C52A8">
        <w:rPr>
          <w:rFonts w:cs="Arial"/>
        </w:rPr>
        <w:t>se properties. The agreement will provide that all of the responsibilit</w:t>
      </w:r>
      <w:r w:rsidR="00175BC6">
        <w:rPr>
          <w:rFonts w:cs="Arial"/>
        </w:rPr>
        <w:t xml:space="preserve">ies for the </w:t>
      </w:r>
      <w:r w:rsidR="00844CDE" w:rsidRPr="008C52A8">
        <w:rPr>
          <w:rFonts w:cs="Arial"/>
        </w:rPr>
        <w:t>function in respect of those properties, and all of the liabilities arising in the discharge of those functions, will pass to Oxford City Council.</w:t>
      </w:r>
    </w:p>
    <w:p w14:paraId="302BF322" w14:textId="477EC755" w:rsidR="00534767" w:rsidRPr="002B01B1" w:rsidRDefault="004F54B5" w:rsidP="002B01B1">
      <w:pPr>
        <w:pStyle w:val="Heading1"/>
        <w:spacing w:after="0"/>
        <w:ind w:left="720"/>
        <w:rPr>
          <w:rFonts w:cs="Arial"/>
          <w:b w:val="0"/>
        </w:rPr>
      </w:pPr>
      <w:r>
        <w:rPr>
          <w:rFonts w:cs="Arial"/>
          <w:b w:val="0"/>
        </w:rPr>
        <w:t>9.5</w:t>
      </w:r>
      <w:r>
        <w:rPr>
          <w:rFonts w:cs="Arial"/>
          <w:b w:val="0"/>
        </w:rPr>
        <w:tab/>
      </w:r>
      <w:r w:rsidR="00175BC6" w:rsidRPr="002B01B1">
        <w:rPr>
          <w:rFonts w:cs="Arial"/>
          <w:b w:val="0"/>
        </w:rPr>
        <w:t xml:space="preserve">A further report will be prepared for consideration by the Cabinet once a delegation has been made by Cherwell District Council. Approval will also be </w:t>
      </w:r>
      <w:r w:rsidR="00175BC6" w:rsidRPr="002B01B1">
        <w:rPr>
          <w:rFonts w:cs="Arial"/>
          <w:b w:val="0"/>
        </w:rPr>
        <w:lastRenderedPageBreak/>
        <w:t>sought to enter into an agreement to perform the function on behalf of Cherwell District Council.</w:t>
      </w:r>
    </w:p>
    <w:p w14:paraId="211B2D81" w14:textId="65B1F4F9" w:rsidR="002329CF" w:rsidRPr="008C52A8" w:rsidRDefault="004F54B5" w:rsidP="00D33B9A">
      <w:pPr>
        <w:pStyle w:val="Heading1"/>
        <w:spacing w:after="0"/>
        <w:rPr>
          <w:rFonts w:cs="Arial"/>
        </w:rPr>
      </w:pPr>
      <w:r>
        <w:rPr>
          <w:rFonts w:cs="Arial"/>
        </w:rPr>
        <w:t>10.0</w:t>
      </w:r>
      <w:r>
        <w:rPr>
          <w:rFonts w:cs="Arial"/>
        </w:rPr>
        <w:tab/>
      </w:r>
      <w:r w:rsidR="002329CF" w:rsidRPr="008C52A8">
        <w:rPr>
          <w:rFonts w:cs="Arial"/>
        </w:rPr>
        <w:t>Level of risk</w:t>
      </w:r>
    </w:p>
    <w:p w14:paraId="2AAD72A6" w14:textId="77777777" w:rsidR="00844CDE" w:rsidRPr="008C52A8" w:rsidRDefault="00844CDE" w:rsidP="002B01B1">
      <w:pPr>
        <w:pStyle w:val="Heading1"/>
        <w:numPr>
          <w:ilvl w:val="0"/>
          <w:numId w:val="38"/>
        </w:numPr>
        <w:spacing w:after="0"/>
        <w:ind w:left="1080"/>
        <w:rPr>
          <w:rFonts w:cs="Arial"/>
          <w:b w:val="0"/>
        </w:rPr>
      </w:pPr>
      <w:r w:rsidRPr="008C52A8">
        <w:rPr>
          <w:rFonts w:cs="Arial"/>
          <w:b w:val="0"/>
        </w:rPr>
        <w:t>There is a risk of disappointment and frustration from residents living nearby to the proposed development sites where they may not be prioritised for housing through absence of the local connection criteria.</w:t>
      </w:r>
      <w:r w:rsidR="00041BB8" w:rsidRPr="008C52A8">
        <w:rPr>
          <w:rFonts w:cs="Arial"/>
          <w:b w:val="0"/>
        </w:rPr>
        <w:t xml:space="preserve"> This will be mitigated by a clear </w:t>
      </w:r>
      <w:r w:rsidR="005974F5">
        <w:rPr>
          <w:rFonts w:cs="Arial"/>
          <w:b w:val="0"/>
        </w:rPr>
        <w:t xml:space="preserve">joint </w:t>
      </w:r>
      <w:r w:rsidR="00041BB8" w:rsidRPr="008C52A8">
        <w:rPr>
          <w:rFonts w:cs="Arial"/>
          <w:b w:val="0"/>
        </w:rPr>
        <w:t>communications plan.</w:t>
      </w:r>
    </w:p>
    <w:p w14:paraId="5B141A67" w14:textId="77777777" w:rsidR="00041BB8" w:rsidRDefault="00041BB8" w:rsidP="002B01B1">
      <w:pPr>
        <w:pStyle w:val="ListParagraph"/>
        <w:numPr>
          <w:ilvl w:val="0"/>
          <w:numId w:val="38"/>
        </w:numPr>
        <w:spacing w:after="0"/>
        <w:ind w:left="1080"/>
        <w:rPr>
          <w:rFonts w:cs="Arial"/>
        </w:rPr>
      </w:pPr>
      <w:r w:rsidRPr="008C52A8">
        <w:rPr>
          <w:rFonts w:cs="Arial"/>
        </w:rPr>
        <w:t>There is a risk that eligible Cherwell residents (those with a local connection) do not register with Oxford City. This risk can be mitigated by a clear communications plan and individual contact and support with eligible applicants by the CDC allocations team.</w:t>
      </w:r>
    </w:p>
    <w:p w14:paraId="4795EE78" w14:textId="1D85869A" w:rsidR="0024221B" w:rsidRPr="008C52A8" w:rsidRDefault="0024221B" w:rsidP="002B01B1">
      <w:pPr>
        <w:pStyle w:val="ListParagraph"/>
        <w:numPr>
          <w:ilvl w:val="0"/>
          <w:numId w:val="38"/>
        </w:numPr>
        <w:spacing w:after="0"/>
        <w:ind w:left="1080"/>
        <w:rPr>
          <w:rFonts w:cs="Arial"/>
        </w:rPr>
      </w:pPr>
      <w:r>
        <w:rPr>
          <w:rFonts w:cs="Arial"/>
        </w:rPr>
        <w:t xml:space="preserve">Any risk associated with the performance by Oxford City Council in accepting the delegation of Cherwell District Council’s statutory function has been considered with the council’s housing allocations team and will be subject to a regular review and reporting </w:t>
      </w:r>
      <w:r w:rsidR="00A52429">
        <w:rPr>
          <w:rFonts w:cs="Arial"/>
        </w:rPr>
        <w:t>procedure.</w:t>
      </w:r>
      <w:r>
        <w:rPr>
          <w:rFonts w:cs="Arial"/>
        </w:rPr>
        <w:t xml:space="preserve">   </w:t>
      </w:r>
    </w:p>
    <w:p w14:paraId="2D45C1ED" w14:textId="77777777" w:rsidR="00041BB8" w:rsidRPr="008C52A8" w:rsidRDefault="00041BB8" w:rsidP="002B01B1">
      <w:pPr>
        <w:pStyle w:val="ListParagraph"/>
        <w:numPr>
          <w:ilvl w:val="0"/>
          <w:numId w:val="0"/>
        </w:numPr>
        <w:spacing w:after="0"/>
        <w:ind w:left="2073"/>
        <w:rPr>
          <w:rFonts w:cs="Arial"/>
        </w:rPr>
      </w:pPr>
    </w:p>
    <w:p w14:paraId="682D7923" w14:textId="770FE047" w:rsidR="002329CF" w:rsidRPr="008C52A8" w:rsidRDefault="004F54B5" w:rsidP="00D33B9A">
      <w:pPr>
        <w:pStyle w:val="Heading1"/>
        <w:spacing w:before="0" w:after="0"/>
        <w:rPr>
          <w:rFonts w:cs="Arial"/>
        </w:rPr>
      </w:pPr>
      <w:r>
        <w:rPr>
          <w:rFonts w:cs="Arial"/>
        </w:rPr>
        <w:t>11.0</w:t>
      </w:r>
      <w:r>
        <w:rPr>
          <w:rFonts w:cs="Arial"/>
        </w:rPr>
        <w:tab/>
      </w:r>
      <w:r w:rsidR="002329CF" w:rsidRPr="008C52A8">
        <w:rPr>
          <w:rFonts w:cs="Arial"/>
        </w:rPr>
        <w:t xml:space="preserve">Equalities impact </w:t>
      </w:r>
    </w:p>
    <w:p w14:paraId="35E6403D" w14:textId="77777777" w:rsidR="00E645FC" w:rsidRDefault="00E645FC" w:rsidP="00D33B9A">
      <w:pPr>
        <w:pStyle w:val="ListParagraph"/>
        <w:numPr>
          <w:ilvl w:val="0"/>
          <w:numId w:val="0"/>
        </w:numPr>
        <w:spacing w:after="0"/>
        <w:ind w:left="426"/>
        <w:rPr>
          <w:rFonts w:cs="Arial"/>
        </w:rPr>
      </w:pPr>
    </w:p>
    <w:p w14:paraId="338D1DF7" w14:textId="5D3B3D06" w:rsidR="002329CF" w:rsidRPr="008C52A8" w:rsidRDefault="00C652EC" w:rsidP="00D33B9A">
      <w:pPr>
        <w:pStyle w:val="ListParagraph"/>
        <w:numPr>
          <w:ilvl w:val="0"/>
          <w:numId w:val="0"/>
        </w:numPr>
        <w:spacing w:after="0"/>
        <w:rPr>
          <w:rFonts w:cs="Arial"/>
        </w:rPr>
      </w:pPr>
      <w:r w:rsidRPr="008C52A8">
        <w:rPr>
          <w:rFonts w:cs="Arial"/>
        </w:rPr>
        <w:t>There are no equalities impact</w:t>
      </w:r>
      <w:r w:rsidR="00E645FC">
        <w:rPr>
          <w:rFonts w:cs="Arial"/>
        </w:rPr>
        <w:t>s</w:t>
      </w:r>
      <w:r w:rsidRPr="008C52A8">
        <w:rPr>
          <w:rFonts w:cs="Arial"/>
        </w:rPr>
        <w:t xml:space="preserve"> in relation to this report, however an Equalities Impact Assessment will need to be undertaken on the relevant allocations schemes, lettings plans and joint communication plans as they are developed to ensure the information is provided in the a suitable format to all residents, organisations, relevant ward and parish councillors.</w:t>
      </w:r>
    </w:p>
    <w:p w14:paraId="070AA19F" w14:textId="77777777" w:rsidR="00B660B6" w:rsidRDefault="00B660B6" w:rsidP="00D33B9A">
      <w:pPr>
        <w:pStyle w:val="Heading1"/>
        <w:spacing w:before="0" w:after="0"/>
        <w:rPr>
          <w:rFonts w:cs="Arial"/>
        </w:rPr>
      </w:pPr>
    </w:p>
    <w:p w14:paraId="47C355EF" w14:textId="371BEC3E" w:rsidR="00E87F7A" w:rsidRPr="008C52A8" w:rsidRDefault="004F54B5" w:rsidP="00D33B9A">
      <w:pPr>
        <w:pStyle w:val="Heading1"/>
        <w:spacing w:before="0" w:after="0"/>
        <w:rPr>
          <w:rFonts w:cs="Arial"/>
        </w:rPr>
      </w:pPr>
      <w:r>
        <w:rPr>
          <w:rFonts w:cs="Arial"/>
        </w:rPr>
        <w:t>12.0</w:t>
      </w:r>
      <w:r>
        <w:rPr>
          <w:rFonts w:cs="Arial"/>
        </w:rPr>
        <w:tab/>
      </w:r>
      <w:r w:rsidR="00E87F7A" w:rsidRPr="008C52A8">
        <w:rPr>
          <w:rFonts w:cs="Arial"/>
        </w:rPr>
        <w:t>Conclusion</w:t>
      </w:r>
    </w:p>
    <w:p w14:paraId="44A0F95A" w14:textId="77777777" w:rsidR="00E645FC" w:rsidRDefault="00E645FC" w:rsidP="00D33B9A">
      <w:pPr>
        <w:pStyle w:val="ListParagraph"/>
        <w:numPr>
          <w:ilvl w:val="0"/>
          <w:numId w:val="0"/>
        </w:numPr>
        <w:spacing w:after="0"/>
        <w:rPr>
          <w:rFonts w:cs="Arial"/>
        </w:rPr>
      </w:pPr>
    </w:p>
    <w:p w14:paraId="6595488D" w14:textId="59A704DA" w:rsidR="00712C12" w:rsidRDefault="00712C12" w:rsidP="00D33B9A">
      <w:pPr>
        <w:pStyle w:val="ListParagraph"/>
        <w:numPr>
          <w:ilvl w:val="0"/>
          <w:numId w:val="0"/>
        </w:numPr>
        <w:spacing w:after="0"/>
        <w:rPr>
          <w:rFonts w:cs="Arial"/>
        </w:rPr>
      </w:pPr>
      <w:r>
        <w:rPr>
          <w:rFonts w:cs="Arial"/>
        </w:rPr>
        <w:t xml:space="preserve">This report recommends granting approval to proceed with the proposal to exercise the Duty to </w:t>
      </w:r>
      <w:proofErr w:type="gramStart"/>
      <w:r>
        <w:rPr>
          <w:rFonts w:cs="Arial"/>
        </w:rPr>
        <w:t>Cooperate</w:t>
      </w:r>
      <w:proofErr w:type="gramEnd"/>
      <w:r>
        <w:rPr>
          <w:rFonts w:cs="Arial"/>
        </w:rPr>
        <w:t xml:space="preserve"> </w:t>
      </w:r>
      <w:r w:rsidR="00E645FC">
        <w:rPr>
          <w:rFonts w:cs="Arial"/>
        </w:rPr>
        <w:t xml:space="preserve">under the Localism Act 2011 </w:t>
      </w:r>
      <w:r>
        <w:rPr>
          <w:rFonts w:cs="Arial"/>
        </w:rPr>
        <w:t>with Cherwell District Council and other neighbouring local authorities.</w:t>
      </w:r>
    </w:p>
    <w:p w14:paraId="6E8ADA4B" w14:textId="77777777" w:rsidR="00E645FC" w:rsidRDefault="00E645FC" w:rsidP="00D33B9A">
      <w:pPr>
        <w:spacing w:after="0"/>
        <w:rPr>
          <w:rFonts w:cs="Arial"/>
        </w:rPr>
      </w:pPr>
    </w:p>
    <w:p w14:paraId="30D80BC8" w14:textId="20B11DAE" w:rsidR="002329CF" w:rsidRDefault="00712C12" w:rsidP="00D33B9A">
      <w:pPr>
        <w:spacing w:after="0"/>
        <w:rPr>
          <w:rFonts w:cs="Arial"/>
        </w:rPr>
      </w:pPr>
      <w:r>
        <w:rPr>
          <w:rFonts w:cs="Arial"/>
        </w:rPr>
        <w:t>T</w:t>
      </w:r>
      <w:r w:rsidR="00E645FC">
        <w:rPr>
          <w:rFonts w:cs="Arial"/>
        </w:rPr>
        <w:t xml:space="preserve">he Cabinet is being asked to </w:t>
      </w:r>
      <w:r>
        <w:rPr>
          <w:rFonts w:cs="Arial"/>
        </w:rPr>
        <w:t xml:space="preserve">agree in principle to accept a delegation from Cherwell District Council using section 102 of the Local Government Act 1972 </w:t>
      </w:r>
      <w:r w:rsidR="00E645FC">
        <w:rPr>
          <w:rFonts w:cs="Arial"/>
        </w:rPr>
        <w:t>(</w:t>
      </w:r>
      <w:r>
        <w:rPr>
          <w:rFonts w:cs="Arial"/>
        </w:rPr>
        <w:t>to perform its functions statutory housing functions in respect of properties identified in order to meet Oxford’s unmet demand</w:t>
      </w:r>
      <w:r w:rsidR="00E645FC">
        <w:rPr>
          <w:rFonts w:cs="Arial"/>
        </w:rPr>
        <w:t xml:space="preserve"> and) </w:t>
      </w:r>
      <w:r w:rsidR="00BF68DD">
        <w:rPr>
          <w:rFonts w:cs="Arial"/>
        </w:rPr>
        <w:t>to note the agreed approach with West Oxfordshire District Council, Vale of White Horse District Council and South Oxfordshire District Council.</w:t>
      </w:r>
    </w:p>
    <w:p w14:paraId="591F29B2" w14:textId="77777777" w:rsidR="00BF68DD" w:rsidRPr="008C52A8" w:rsidRDefault="00BF68DD"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8C52A8" w14:paraId="4D231D03"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B48BF6F" w14:textId="77777777" w:rsidR="00E87F7A" w:rsidRPr="008C52A8" w:rsidRDefault="00E87F7A" w:rsidP="00A46E98">
            <w:pPr>
              <w:rPr>
                <w:rFonts w:cs="Arial"/>
                <w:b/>
              </w:rPr>
            </w:pPr>
            <w:r w:rsidRPr="008C52A8">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E505F9" w14:textId="77777777" w:rsidR="00E87F7A" w:rsidRPr="008C52A8" w:rsidRDefault="00085259" w:rsidP="00A46E98">
            <w:pPr>
              <w:rPr>
                <w:rFonts w:cs="Arial"/>
              </w:rPr>
            </w:pPr>
            <w:r w:rsidRPr="008C52A8">
              <w:rPr>
                <w:rFonts w:cs="Arial"/>
              </w:rPr>
              <w:t>Deb Wyatt</w:t>
            </w:r>
          </w:p>
        </w:tc>
      </w:tr>
      <w:tr w:rsidR="00DF093E" w:rsidRPr="008C52A8" w14:paraId="27F87F55"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71CEA15" w14:textId="77777777" w:rsidR="00E87F7A" w:rsidRPr="008C52A8" w:rsidRDefault="00E87F7A" w:rsidP="00A46E98">
            <w:pPr>
              <w:rPr>
                <w:rFonts w:cs="Arial"/>
              </w:rPr>
            </w:pPr>
            <w:r w:rsidRPr="008C52A8">
              <w:rPr>
                <w:rFonts w:cs="Arial"/>
              </w:rPr>
              <w:t>Job title</w:t>
            </w:r>
          </w:p>
        </w:tc>
        <w:tc>
          <w:tcPr>
            <w:tcW w:w="4962" w:type="dxa"/>
            <w:tcBorders>
              <w:top w:val="single" w:sz="8" w:space="0" w:color="000000"/>
              <w:left w:val="nil"/>
              <w:bottom w:val="nil"/>
              <w:right w:val="single" w:sz="8" w:space="0" w:color="000000"/>
            </w:tcBorders>
            <w:shd w:val="clear" w:color="auto" w:fill="auto"/>
          </w:tcPr>
          <w:p w14:paraId="0B4D1A59" w14:textId="77777777" w:rsidR="00E87F7A" w:rsidRPr="008C52A8" w:rsidRDefault="00085259" w:rsidP="00A46E98">
            <w:pPr>
              <w:rPr>
                <w:rFonts w:cs="Arial"/>
              </w:rPr>
            </w:pPr>
            <w:r w:rsidRPr="008C52A8">
              <w:rPr>
                <w:rFonts w:cs="Arial"/>
              </w:rPr>
              <w:t>Affordable Housing Supply Senior Programme Officer</w:t>
            </w:r>
          </w:p>
        </w:tc>
      </w:tr>
      <w:tr w:rsidR="00DF093E" w:rsidRPr="008C52A8" w14:paraId="1961182E" w14:textId="77777777" w:rsidTr="00A46E98">
        <w:trPr>
          <w:cantSplit/>
          <w:trHeight w:val="396"/>
        </w:trPr>
        <w:tc>
          <w:tcPr>
            <w:tcW w:w="3969" w:type="dxa"/>
            <w:tcBorders>
              <w:top w:val="nil"/>
              <w:left w:val="single" w:sz="8" w:space="0" w:color="000000"/>
              <w:bottom w:val="nil"/>
              <w:right w:val="nil"/>
            </w:tcBorders>
            <w:shd w:val="clear" w:color="auto" w:fill="auto"/>
          </w:tcPr>
          <w:p w14:paraId="03399FCC" w14:textId="77777777" w:rsidR="00E87F7A" w:rsidRPr="008C52A8" w:rsidRDefault="00E87F7A" w:rsidP="00A46E98">
            <w:pPr>
              <w:rPr>
                <w:rFonts w:cs="Arial"/>
              </w:rPr>
            </w:pPr>
            <w:r w:rsidRPr="008C52A8">
              <w:rPr>
                <w:rFonts w:cs="Arial"/>
              </w:rPr>
              <w:t>Service area or department</w:t>
            </w:r>
          </w:p>
        </w:tc>
        <w:tc>
          <w:tcPr>
            <w:tcW w:w="4962" w:type="dxa"/>
            <w:tcBorders>
              <w:top w:val="nil"/>
              <w:left w:val="nil"/>
              <w:bottom w:val="nil"/>
              <w:right w:val="single" w:sz="8" w:space="0" w:color="000000"/>
            </w:tcBorders>
            <w:shd w:val="clear" w:color="auto" w:fill="auto"/>
          </w:tcPr>
          <w:p w14:paraId="54B40643" w14:textId="77777777" w:rsidR="00E87F7A" w:rsidRPr="008C52A8" w:rsidRDefault="00085259" w:rsidP="00A46E98">
            <w:pPr>
              <w:rPr>
                <w:rFonts w:cs="Arial"/>
              </w:rPr>
            </w:pPr>
            <w:r w:rsidRPr="008C52A8">
              <w:rPr>
                <w:rFonts w:cs="Arial"/>
              </w:rPr>
              <w:t>Housing</w:t>
            </w:r>
          </w:p>
        </w:tc>
      </w:tr>
      <w:tr w:rsidR="00DF093E" w:rsidRPr="008C52A8" w14:paraId="157A9328" w14:textId="77777777" w:rsidTr="00A46E98">
        <w:trPr>
          <w:cantSplit/>
          <w:trHeight w:val="396"/>
        </w:trPr>
        <w:tc>
          <w:tcPr>
            <w:tcW w:w="3969" w:type="dxa"/>
            <w:tcBorders>
              <w:top w:val="nil"/>
              <w:left w:val="single" w:sz="8" w:space="0" w:color="000000"/>
              <w:bottom w:val="nil"/>
              <w:right w:val="nil"/>
            </w:tcBorders>
            <w:shd w:val="clear" w:color="auto" w:fill="auto"/>
          </w:tcPr>
          <w:p w14:paraId="3CE94D0A" w14:textId="77777777" w:rsidR="00E87F7A" w:rsidRPr="008C52A8" w:rsidRDefault="00E87F7A" w:rsidP="00A46E98">
            <w:pPr>
              <w:rPr>
                <w:rFonts w:cs="Arial"/>
              </w:rPr>
            </w:pPr>
            <w:r w:rsidRPr="008C52A8">
              <w:rPr>
                <w:rFonts w:cs="Arial"/>
              </w:rPr>
              <w:t xml:space="preserve">Telephone </w:t>
            </w:r>
          </w:p>
        </w:tc>
        <w:tc>
          <w:tcPr>
            <w:tcW w:w="4962" w:type="dxa"/>
            <w:tcBorders>
              <w:top w:val="nil"/>
              <w:left w:val="nil"/>
              <w:bottom w:val="nil"/>
              <w:right w:val="single" w:sz="8" w:space="0" w:color="000000"/>
            </w:tcBorders>
            <w:shd w:val="clear" w:color="auto" w:fill="auto"/>
          </w:tcPr>
          <w:p w14:paraId="5D3D588A" w14:textId="77777777" w:rsidR="00E87F7A" w:rsidRPr="008C52A8" w:rsidRDefault="00085259" w:rsidP="00A46E98">
            <w:pPr>
              <w:rPr>
                <w:rFonts w:cs="Arial"/>
              </w:rPr>
            </w:pPr>
            <w:r w:rsidRPr="008C52A8">
              <w:rPr>
                <w:rFonts w:cs="Arial"/>
              </w:rPr>
              <w:t>01865 311337</w:t>
            </w:r>
            <w:r w:rsidR="00E87F7A" w:rsidRPr="008C52A8">
              <w:rPr>
                <w:rFonts w:cs="Arial"/>
              </w:rPr>
              <w:t xml:space="preserve">  </w:t>
            </w:r>
          </w:p>
        </w:tc>
      </w:tr>
      <w:tr w:rsidR="005570B5" w:rsidRPr="008C52A8" w14:paraId="6817775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A6C2406" w14:textId="77777777" w:rsidR="00E87F7A" w:rsidRPr="008C52A8" w:rsidRDefault="00E87F7A" w:rsidP="00A46E98">
            <w:pPr>
              <w:rPr>
                <w:rFonts w:cs="Arial"/>
              </w:rPr>
            </w:pPr>
            <w:r w:rsidRPr="008C52A8">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41AEC063" w14:textId="04305454" w:rsidR="00E87F7A" w:rsidRPr="008C52A8" w:rsidRDefault="00BF68DD" w:rsidP="00A46E98">
            <w:pPr>
              <w:rPr>
                <w:rStyle w:val="Hyperlink"/>
                <w:rFonts w:cs="Arial"/>
                <w:color w:val="000000"/>
              </w:rPr>
            </w:pPr>
            <w:r>
              <w:rPr>
                <w:rStyle w:val="Hyperlink"/>
                <w:rFonts w:cs="Arial"/>
                <w:color w:val="000000"/>
              </w:rPr>
              <w:t>dwyatt@oxford.gov.uk</w:t>
            </w:r>
          </w:p>
        </w:tc>
      </w:tr>
    </w:tbl>
    <w:p w14:paraId="674B5672" w14:textId="2329F4CB" w:rsidR="00A52429" w:rsidRDefault="00A52429" w:rsidP="004A6D2F">
      <w:pPr>
        <w:rPr>
          <w:rFonts w:cs="Arial"/>
        </w:rPr>
      </w:pPr>
    </w:p>
    <w:p w14:paraId="054780EF" w14:textId="77777777" w:rsidR="00433B96" w:rsidRPr="008C52A8" w:rsidRDefault="00433B96"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8C52A8" w14:paraId="49E0FF1A"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50403293" w14:textId="77777777" w:rsidR="0093067A" w:rsidRPr="008C52A8" w:rsidRDefault="00182B81" w:rsidP="00B818E2">
            <w:pPr>
              <w:rPr>
                <w:rFonts w:cs="Arial"/>
              </w:rPr>
            </w:pPr>
            <w:r w:rsidRPr="008C52A8">
              <w:rPr>
                <w:rStyle w:val="Firstpagetablebold"/>
                <w:rFonts w:cs="Arial"/>
              </w:rPr>
              <w:lastRenderedPageBreak/>
              <w:t xml:space="preserve">Background Papers: </w:t>
            </w:r>
          </w:p>
        </w:tc>
      </w:tr>
      <w:tr w:rsidR="00DF093E" w:rsidRPr="008C52A8" w14:paraId="2E2A22F7" w14:textId="77777777" w:rsidTr="00A46E98">
        <w:tc>
          <w:tcPr>
            <w:tcW w:w="567" w:type="dxa"/>
            <w:tcBorders>
              <w:top w:val="single" w:sz="8" w:space="0" w:color="000000"/>
              <w:left w:val="single" w:sz="8" w:space="0" w:color="000000"/>
              <w:bottom w:val="nil"/>
              <w:right w:val="nil"/>
            </w:tcBorders>
            <w:shd w:val="clear" w:color="auto" w:fill="auto"/>
          </w:tcPr>
          <w:p w14:paraId="57A77025" w14:textId="77777777" w:rsidR="0093067A" w:rsidRPr="008C52A8" w:rsidRDefault="00182B81" w:rsidP="00F41AC1">
            <w:pPr>
              <w:rPr>
                <w:rFonts w:cs="Arial"/>
              </w:rPr>
            </w:pPr>
            <w:r w:rsidRPr="008C52A8">
              <w:rPr>
                <w:rFonts w:cs="Arial"/>
              </w:rPr>
              <w:t>1</w:t>
            </w:r>
          </w:p>
        </w:tc>
        <w:tc>
          <w:tcPr>
            <w:tcW w:w="8364" w:type="dxa"/>
            <w:tcBorders>
              <w:top w:val="single" w:sz="8" w:space="0" w:color="000000"/>
              <w:left w:val="nil"/>
              <w:bottom w:val="nil"/>
              <w:right w:val="single" w:sz="8" w:space="0" w:color="000000"/>
            </w:tcBorders>
          </w:tcPr>
          <w:p w14:paraId="4D862444" w14:textId="77777777" w:rsidR="0093067A" w:rsidRPr="008C52A8" w:rsidRDefault="00B818E2" w:rsidP="005D0621">
            <w:pPr>
              <w:rPr>
                <w:rFonts w:cs="Arial"/>
              </w:rPr>
            </w:pPr>
            <w:r>
              <w:rPr>
                <w:rFonts w:cs="Arial"/>
              </w:rPr>
              <w:t>Lead Member Briefing Paper – December 2020</w:t>
            </w:r>
          </w:p>
        </w:tc>
      </w:tr>
      <w:tr w:rsidR="00DF093E" w:rsidRPr="008C52A8" w14:paraId="1803E848" w14:textId="77777777" w:rsidTr="00A46E98">
        <w:tc>
          <w:tcPr>
            <w:tcW w:w="567" w:type="dxa"/>
            <w:tcBorders>
              <w:top w:val="nil"/>
              <w:left w:val="single" w:sz="8" w:space="0" w:color="000000"/>
              <w:bottom w:val="nil"/>
              <w:right w:val="nil"/>
            </w:tcBorders>
            <w:shd w:val="clear" w:color="auto" w:fill="auto"/>
          </w:tcPr>
          <w:p w14:paraId="218C248A" w14:textId="77777777" w:rsidR="0093067A" w:rsidRPr="008C52A8" w:rsidRDefault="00182B81" w:rsidP="00F41AC1">
            <w:pPr>
              <w:rPr>
                <w:rFonts w:cs="Arial"/>
              </w:rPr>
            </w:pPr>
            <w:r w:rsidRPr="008C52A8">
              <w:rPr>
                <w:rFonts w:cs="Arial"/>
              </w:rPr>
              <w:t>2</w:t>
            </w:r>
          </w:p>
        </w:tc>
        <w:tc>
          <w:tcPr>
            <w:tcW w:w="8364" w:type="dxa"/>
            <w:tcBorders>
              <w:top w:val="nil"/>
              <w:left w:val="nil"/>
              <w:bottom w:val="nil"/>
              <w:right w:val="single" w:sz="8" w:space="0" w:color="000000"/>
            </w:tcBorders>
          </w:tcPr>
          <w:p w14:paraId="18628E90" w14:textId="5C8F001C" w:rsidR="0093067A" w:rsidRPr="008C52A8" w:rsidRDefault="00B818E2" w:rsidP="00F41AC1">
            <w:pPr>
              <w:rPr>
                <w:rFonts w:cs="Arial"/>
              </w:rPr>
            </w:pPr>
            <w:r>
              <w:rPr>
                <w:rFonts w:cs="Arial"/>
              </w:rPr>
              <w:t>Statement of Common Ground</w:t>
            </w:r>
            <w:r w:rsidR="00B660B6">
              <w:rPr>
                <w:rFonts w:cs="Arial"/>
              </w:rPr>
              <w:t xml:space="preserve"> Agreements</w:t>
            </w:r>
          </w:p>
        </w:tc>
      </w:tr>
      <w:tr w:rsidR="00DF093E" w:rsidRPr="008C52A8" w14:paraId="66C03CEE" w14:textId="77777777" w:rsidTr="00A46E98">
        <w:tc>
          <w:tcPr>
            <w:tcW w:w="567" w:type="dxa"/>
            <w:tcBorders>
              <w:top w:val="nil"/>
              <w:left w:val="single" w:sz="8" w:space="0" w:color="000000"/>
              <w:bottom w:val="nil"/>
              <w:right w:val="nil"/>
            </w:tcBorders>
            <w:shd w:val="clear" w:color="auto" w:fill="auto"/>
          </w:tcPr>
          <w:p w14:paraId="68F2CDF2" w14:textId="77777777" w:rsidR="0093067A" w:rsidRPr="008C52A8" w:rsidRDefault="00182B81" w:rsidP="00F41AC1">
            <w:pPr>
              <w:rPr>
                <w:rFonts w:cs="Arial"/>
              </w:rPr>
            </w:pPr>
            <w:r w:rsidRPr="008C52A8">
              <w:rPr>
                <w:rFonts w:cs="Arial"/>
              </w:rPr>
              <w:t>3</w:t>
            </w:r>
          </w:p>
        </w:tc>
        <w:tc>
          <w:tcPr>
            <w:tcW w:w="8364" w:type="dxa"/>
            <w:tcBorders>
              <w:top w:val="nil"/>
              <w:left w:val="nil"/>
              <w:bottom w:val="nil"/>
              <w:right w:val="single" w:sz="8" w:space="0" w:color="000000"/>
            </w:tcBorders>
          </w:tcPr>
          <w:p w14:paraId="45D3BB2B" w14:textId="77777777" w:rsidR="0093067A" w:rsidRPr="008C52A8" w:rsidRDefault="00B818E2" w:rsidP="00F41AC1">
            <w:pPr>
              <w:rPr>
                <w:rFonts w:cs="Arial"/>
              </w:rPr>
            </w:pPr>
            <w:r>
              <w:rPr>
                <w:rFonts w:cs="Arial"/>
              </w:rPr>
              <w:t>CDC Report to Executive Planning Meeting - March 2020</w:t>
            </w:r>
          </w:p>
        </w:tc>
      </w:tr>
      <w:tr w:rsidR="005570B5" w:rsidRPr="008C52A8" w14:paraId="29B2E6BF" w14:textId="77777777" w:rsidTr="00A46E98">
        <w:tc>
          <w:tcPr>
            <w:tcW w:w="567" w:type="dxa"/>
            <w:tcBorders>
              <w:top w:val="nil"/>
              <w:left w:val="single" w:sz="8" w:space="0" w:color="000000"/>
              <w:bottom w:val="single" w:sz="8" w:space="0" w:color="000000"/>
              <w:right w:val="nil"/>
            </w:tcBorders>
            <w:shd w:val="clear" w:color="auto" w:fill="auto"/>
          </w:tcPr>
          <w:p w14:paraId="77EE6E45" w14:textId="0CE25E99" w:rsidR="0093067A" w:rsidRPr="008C52A8" w:rsidRDefault="0093067A" w:rsidP="00F41AC1">
            <w:pPr>
              <w:rPr>
                <w:rFonts w:cs="Arial"/>
              </w:rPr>
            </w:pPr>
          </w:p>
        </w:tc>
        <w:tc>
          <w:tcPr>
            <w:tcW w:w="8364" w:type="dxa"/>
            <w:tcBorders>
              <w:top w:val="nil"/>
              <w:left w:val="nil"/>
              <w:bottom w:val="single" w:sz="8" w:space="0" w:color="000000"/>
              <w:right w:val="single" w:sz="8" w:space="0" w:color="000000"/>
            </w:tcBorders>
          </w:tcPr>
          <w:p w14:paraId="110937EB" w14:textId="7E759704" w:rsidR="0093067A" w:rsidRPr="008C52A8" w:rsidRDefault="0093067A" w:rsidP="00F41AC1">
            <w:pPr>
              <w:rPr>
                <w:rFonts w:cs="Arial"/>
              </w:rPr>
            </w:pPr>
          </w:p>
        </w:tc>
      </w:tr>
    </w:tbl>
    <w:p w14:paraId="4F4B05F4" w14:textId="77777777" w:rsidR="00CE4C87" w:rsidRPr="008C52A8" w:rsidRDefault="00CE4C87" w:rsidP="0093067A">
      <w:pPr>
        <w:rPr>
          <w:rFonts w:cs="Arial"/>
        </w:rPr>
      </w:pPr>
    </w:p>
    <w:sectPr w:rsidR="00CE4C87" w:rsidRPr="008C52A8"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09C78" w14:textId="77777777" w:rsidR="009C1C5E" w:rsidRDefault="009C1C5E" w:rsidP="004A6D2F">
      <w:r>
        <w:separator/>
      </w:r>
    </w:p>
  </w:endnote>
  <w:endnote w:type="continuationSeparator" w:id="0">
    <w:p w14:paraId="7EE96A03" w14:textId="77777777" w:rsidR="009C1C5E" w:rsidRDefault="009C1C5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381E4" w14:textId="77777777" w:rsidR="009C1C5E" w:rsidRDefault="009C1C5E" w:rsidP="004A6D2F">
    <w:pPr>
      <w:pStyle w:val="Footer"/>
    </w:pPr>
    <w:r>
      <w:t>Do not use a footer or page numbers.</w:t>
    </w:r>
  </w:p>
  <w:p w14:paraId="509B04F5" w14:textId="77777777" w:rsidR="009C1C5E" w:rsidRDefault="009C1C5E" w:rsidP="004A6D2F">
    <w:pPr>
      <w:pStyle w:val="Footer"/>
    </w:pPr>
  </w:p>
  <w:p w14:paraId="661A1207" w14:textId="77777777" w:rsidR="009C1C5E" w:rsidRDefault="009C1C5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93BFC" w14:textId="77777777" w:rsidR="009C1C5E" w:rsidRDefault="009C1C5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16CD7" w14:textId="77777777" w:rsidR="009C1C5E" w:rsidRDefault="009C1C5E" w:rsidP="004A6D2F">
      <w:r>
        <w:separator/>
      </w:r>
    </w:p>
  </w:footnote>
  <w:footnote w:type="continuationSeparator" w:id="0">
    <w:p w14:paraId="53E77973" w14:textId="77777777" w:rsidR="009C1C5E" w:rsidRDefault="009C1C5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69F39" w14:textId="77777777" w:rsidR="009C1C5E" w:rsidRDefault="009C1C5E" w:rsidP="00D5547E">
    <w:pPr>
      <w:pStyle w:val="Header"/>
      <w:jc w:val="right"/>
    </w:pPr>
    <w:r>
      <w:rPr>
        <w:noProof/>
      </w:rPr>
      <w:drawing>
        <wp:inline distT="0" distB="0" distL="0" distR="0" wp14:anchorId="60581D97" wp14:editId="2F740CB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6201E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C569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29266A"/>
    <w:multiLevelType w:val="hybridMultilevel"/>
    <w:tmpl w:val="EF1A6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57B4D19"/>
    <w:multiLevelType w:val="multilevel"/>
    <w:tmpl w:val="89447B5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AAA19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E986C8D"/>
    <w:multiLevelType w:val="hybridMultilevel"/>
    <w:tmpl w:val="5830AC94"/>
    <w:lvl w:ilvl="0" w:tplc="0809000F">
      <w:start w:val="1"/>
      <w:numFmt w:val="decimal"/>
      <w:lvlText w:val="%1."/>
      <w:lvlJc w:val="left"/>
      <w:pPr>
        <w:ind w:left="1353" w:hanging="360"/>
      </w:pPr>
      <w:rPr>
        <w:rFont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954B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2263A6A"/>
    <w:multiLevelType w:val="multilevel"/>
    <w:tmpl w:val="43D6D2FA"/>
    <w:numStyleLink w:val="StyleBulletedSymbolsymbolLeft063cmHanging063cm"/>
  </w:abstractNum>
  <w:abstractNum w:abstractNumId="25" w15:restartNumberingAfterBreak="0">
    <w:nsid w:val="25A85B17"/>
    <w:multiLevelType w:val="multilevel"/>
    <w:tmpl w:val="ECA89E4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8479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431535"/>
    <w:multiLevelType w:val="hybridMultilevel"/>
    <w:tmpl w:val="39447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C671A4"/>
    <w:multiLevelType w:val="hybridMultilevel"/>
    <w:tmpl w:val="0610EB9C"/>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BA5FD8"/>
    <w:multiLevelType w:val="multilevel"/>
    <w:tmpl w:val="43D6D2FA"/>
    <w:numStyleLink w:val="StyleBulletedSymbolsymbolLeft063cmHanging063cm"/>
  </w:abstractNum>
  <w:abstractNum w:abstractNumId="3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6418FF"/>
    <w:multiLevelType w:val="hybridMultilevel"/>
    <w:tmpl w:val="FAB6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A22831"/>
    <w:multiLevelType w:val="multilevel"/>
    <w:tmpl w:val="43D6D2FA"/>
    <w:numStyleLink w:val="StyleBulletedSymbolsymbolLeft063cmHanging063cm"/>
  </w:abstractNum>
  <w:abstractNum w:abstractNumId="41" w15:restartNumberingAfterBreak="0">
    <w:nsid w:val="66826766"/>
    <w:multiLevelType w:val="multilevel"/>
    <w:tmpl w:val="FCA052B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2416565"/>
    <w:multiLevelType w:val="multilevel"/>
    <w:tmpl w:val="EAEAAA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98365C6"/>
    <w:multiLevelType w:val="multilevel"/>
    <w:tmpl w:val="E67CE66C"/>
    <w:numStyleLink w:val="StyleNumberedLeft0cmHanging075cm"/>
  </w:abstractNum>
  <w:abstractNum w:abstractNumId="47" w15:restartNumberingAfterBreak="0">
    <w:nsid w:val="7AE45B80"/>
    <w:multiLevelType w:val="hybridMultilevel"/>
    <w:tmpl w:val="29E49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FB34152"/>
    <w:multiLevelType w:val="hybridMultilevel"/>
    <w:tmpl w:val="43080E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43"/>
  </w:num>
  <w:num w:numId="3">
    <w:abstractNumId w:val="30"/>
  </w:num>
  <w:num w:numId="4">
    <w:abstractNumId w:val="26"/>
  </w:num>
  <w:num w:numId="5">
    <w:abstractNumId w:val="38"/>
  </w:num>
  <w:num w:numId="6">
    <w:abstractNumId w:val="44"/>
  </w:num>
  <w:num w:numId="7">
    <w:abstractNumId w:val="29"/>
  </w:num>
  <w:num w:numId="8">
    <w:abstractNumId w:val="27"/>
  </w:num>
  <w:num w:numId="9">
    <w:abstractNumId w:val="14"/>
  </w:num>
  <w:num w:numId="10">
    <w:abstractNumId w:val="21"/>
  </w:num>
  <w:num w:numId="11">
    <w:abstractNumId w:val="34"/>
  </w:num>
  <w:num w:numId="12">
    <w:abstractNumId w:val="31"/>
  </w:num>
  <w:num w:numId="13">
    <w:abstractNumId w:val="10"/>
  </w:num>
  <w:num w:numId="14">
    <w:abstractNumId w:val="46"/>
  </w:num>
  <w:num w:numId="15">
    <w:abstractNumId w:val="23"/>
  </w:num>
  <w:num w:numId="16">
    <w:abstractNumId w:val="11"/>
  </w:num>
  <w:num w:numId="17">
    <w:abstractNumId w:val="37"/>
  </w:num>
  <w:num w:numId="18">
    <w:abstractNumId w:val="12"/>
  </w:num>
  <w:num w:numId="19">
    <w:abstractNumId w:val="40"/>
  </w:num>
  <w:num w:numId="20">
    <w:abstractNumId w:val="24"/>
  </w:num>
  <w:num w:numId="21">
    <w:abstractNumId w:val="28"/>
  </w:num>
  <w:num w:numId="22">
    <w:abstractNumId w:val="15"/>
  </w:num>
  <w:num w:numId="23">
    <w:abstractNumId w:val="4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7"/>
  </w:num>
  <w:num w:numId="35">
    <w:abstractNumId w:val="47"/>
  </w:num>
  <w:num w:numId="36">
    <w:abstractNumId w:val="39"/>
  </w:num>
  <w:num w:numId="37">
    <w:abstractNumId w:val="20"/>
  </w:num>
  <w:num w:numId="38">
    <w:abstractNumId w:val="33"/>
  </w:num>
  <w:num w:numId="39">
    <w:abstractNumId w:val="35"/>
  </w:num>
  <w:num w:numId="40">
    <w:abstractNumId w:val="48"/>
  </w:num>
  <w:num w:numId="41">
    <w:abstractNumId w:val="19"/>
  </w:num>
  <w:num w:numId="42">
    <w:abstractNumId w:val="32"/>
  </w:num>
  <w:num w:numId="43">
    <w:abstractNumId w:val="13"/>
  </w:num>
  <w:num w:numId="44">
    <w:abstractNumId w:val="41"/>
  </w:num>
  <w:num w:numId="45">
    <w:abstractNumId w:val="22"/>
  </w:num>
  <w:num w:numId="46">
    <w:abstractNumId w:val="18"/>
  </w:num>
  <w:num w:numId="47">
    <w:abstractNumId w:val="16"/>
  </w:num>
  <w:num w:numId="48">
    <w:abstractNumId w:val="25"/>
  </w:num>
  <w:num w:numId="49">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88"/>
    <w:rsid w:val="000021BF"/>
    <w:rsid w:val="000117D4"/>
    <w:rsid w:val="00026816"/>
    <w:rsid w:val="000314D7"/>
    <w:rsid w:val="00041BB8"/>
    <w:rsid w:val="00045F8B"/>
    <w:rsid w:val="00046D2B"/>
    <w:rsid w:val="00056263"/>
    <w:rsid w:val="00064D8A"/>
    <w:rsid w:val="00064F82"/>
    <w:rsid w:val="00066510"/>
    <w:rsid w:val="0007200C"/>
    <w:rsid w:val="00072AEA"/>
    <w:rsid w:val="00077523"/>
    <w:rsid w:val="00085259"/>
    <w:rsid w:val="000C089F"/>
    <w:rsid w:val="000C3928"/>
    <w:rsid w:val="000C5E8E"/>
    <w:rsid w:val="000D45AE"/>
    <w:rsid w:val="000F4751"/>
    <w:rsid w:val="0010524C"/>
    <w:rsid w:val="00111FB1"/>
    <w:rsid w:val="00113418"/>
    <w:rsid w:val="00133A8A"/>
    <w:rsid w:val="001356F1"/>
    <w:rsid w:val="00136994"/>
    <w:rsid w:val="001376F0"/>
    <w:rsid w:val="0014128E"/>
    <w:rsid w:val="00151888"/>
    <w:rsid w:val="001638B5"/>
    <w:rsid w:val="00170A2D"/>
    <w:rsid w:val="001752AD"/>
    <w:rsid w:val="00175BC6"/>
    <w:rsid w:val="00177093"/>
    <w:rsid w:val="001808BC"/>
    <w:rsid w:val="00182B81"/>
    <w:rsid w:val="0018619D"/>
    <w:rsid w:val="0019572A"/>
    <w:rsid w:val="001A011E"/>
    <w:rsid w:val="001A066A"/>
    <w:rsid w:val="001A13E6"/>
    <w:rsid w:val="001A5731"/>
    <w:rsid w:val="001B42C3"/>
    <w:rsid w:val="001C5D5E"/>
    <w:rsid w:val="001D678D"/>
    <w:rsid w:val="001E03F8"/>
    <w:rsid w:val="001E1678"/>
    <w:rsid w:val="001E3376"/>
    <w:rsid w:val="002069B3"/>
    <w:rsid w:val="002224F1"/>
    <w:rsid w:val="002329CF"/>
    <w:rsid w:val="00232F5B"/>
    <w:rsid w:val="0024221B"/>
    <w:rsid w:val="00247C29"/>
    <w:rsid w:val="00260467"/>
    <w:rsid w:val="00263EA3"/>
    <w:rsid w:val="00275939"/>
    <w:rsid w:val="00277050"/>
    <w:rsid w:val="00284F85"/>
    <w:rsid w:val="00290915"/>
    <w:rsid w:val="00291477"/>
    <w:rsid w:val="002A22E2"/>
    <w:rsid w:val="002B01B1"/>
    <w:rsid w:val="002C271E"/>
    <w:rsid w:val="002C64F7"/>
    <w:rsid w:val="002F41F2"/>
    <w:rsid w:val="00301BF3"/>
    <w:rsid w:val="0030208D"/>
    <w:rsid w:val="00314D10"/>
    <w:rsid w:val="00323418"/>
    <w:rsid w:val="003357BF"/>
    <w:rsid w:val="0035308F"/>
    <w:rsid w:val="00364FAD"/>
    <w:rsid w:val="0036738F"/>
    <w:rsid w:val="0036759C"/>
    <w:rsid w:val="00367AE5"/>
    <w:rsid w:val="00367D71"/>
    <w:rsid w:val="00380767"/>
    <w:rsid w:val="0038150A"/>
    <w:rsid w:val="00393686"/>
    <w:rsid w:val="003B6E75"/>
    <w:rsid w:val="003B7DA1"/>
    <w:rsid w:val="003D0379"/>
    <w:rsid w:val="003D2574"/>
    <w:rsid w:val="003D4C59"/>
    <w:rsid w:val="003F4267"/>
    <w:rsid w:val="00404032"/>
    <w:rsid w:val="0040736F"/>
    <w:rsid w:val="00412C1F"/>
    <w:rsid w:val="00421CB2"/>
    <w:rsid w:val="004268B9"/>
    <w:rsid w:val="004301AE"/>
    <w:rsid w:val="004318F0"/>
    <w:rsid w:val="00433B96"/>
    <w:rsid w:val="004440F1"/>
    <w:rsid w:val="004456DD"/>
    <w:rsid w:val="00446CDF"/>
    <w:rsid w:val="004521B7"/>
    <w:rsid w:val="00462AB5"/>
    <w:rsid w:val="00465EAF"/>
    <w:rsid w:val="004738C5"/>
    <w:rsid w:val="00484184"/>
    <w:rsid w:val="00491046"/>
    <w:rsid w:val="004A2AC7"/>
    <w:rsid w:val="004A3068"/>
    <w:rsid w:val="004A6D2F"/>
    <w:rsid w:val="004C2887"/>
    <w:rsid w:val="004C6C72"/>
    <w:rsid w:val="004D2626"/>
    <w:rsid w:val="004D6E26"/>
    <w:rsid w:val="004D77D3"/>
    <w:rsid w:val="004E2959"/>
    <w:rsid w:val="004F0666"/>
    <w:rsid w:val="004F20EF"/>
    <w:rsid w:val="004F54B5"/>
    <w:rsid w:val="0050321C"/>
    <w:rsid w:val="00534767"/>
    <w:rsid w:val="0054712D"/>
    <w:rsid w:val="00547EF6"/>
    <w:rsid w:val="005570B5"/>
    <w:rsid w:val="005622BD"/>
    <w:rsid w:val="00567E18"/>
    <w:rsid w:val="00575F5F"/>
    <w:rsid w:val="00581805"/>
    <w:rsid w:val="00582988"/>
    <w:rsid w:val="00585F76"/>
    <w:rsid w:val="005860A3"/>
    <w:rsid w:val="005974F5"/>
    <w:rsid w:val="005A34E4"/>
    <w:rsid w:val="005B17F2"/>
    <w:rsid w:val="005B7FB0"/>
    <w:rsid w:val="005C35A5"/>
    <w:rsid w:val="005C577C"/>
    <w:rsid w:val="005D0621"/>
    <w:rsid w:val="005D1E27"/>
    <w:rsid w:val="005D2A3E"/>
    <w:rsid w:val="005E022E"/>
    <w:rsid w:val="005E5215"/>
    <w:rsid w:val="005F2156"/>
    <w:rsid w:val="005F7F7E"/>
    <w:rsid w:val="00614693"/>
    <w:rsid w:val="00623C2F"/>
    <w:rsid w:val="00633578"/>
    <w:rsid w:val="00637068"/>
    <w:rsid w:val="00650811"/>
    <w:rsid w:val="00661D3E"/>
    <w:rsid w:val="0067041F"/>
    <w:rsid w:val="00692627"/>
    <w:rsid w:val="006969E7"/>
    <w:rsid w:val="006A3643"/>
    <w:rsid w:val="006A5EFF"/>
    <w:rsid w:val="006C2A29"/>
    <w:rsid w:val="006C3966"/>
    <w:rsid w:val="006C64CF"/>
    <w:rsid w:val="006D17B1"/>
    <w:rsid w:val="006D4752"/>
    <w:rsid w:val="006D708A"/>
    <w:rsid w:val="006E14C1"/>
    <w:rsid w:val="006E3510"/>
    <w:rsid w:val="006E35C0"/>
    <w:rsid w:val="006F0292"/>
    <w:rsid w:val="006F22BE"/>
    <w:rsid w:val="006F27FA"/>
    <w:rsid w:val="006F416B"/>
    <w:rsid w:val="006F519B"/>
    <w:rsid w:val="00712C12"/>
    <w:rsid w:val="00713675"/>
    <w:rsid w:val="00715823"/>
    <w:rsid w:val="00737B93"/>
    <w:rsid w:val="00745BF0"/>
    <w:rsid w:val="007502F6"/>
    <w:rsid w:val="00755305"/>
    <w:rsid w:val="007615FE"/>
    <w:rsid w:val="0076655C"/>
    <w:rsid w:val="00771F58"/>
    <w:rsid w:val="007742DC"/>
    <w:rsid w:val="0078509A"/>
    <w:rsid w:val="00791437"/>
    <w:rsid w:val="007B0C2C"/>
    <w:rsid w:val="007B278E"/>
    <w:rsid w:val="007C5C23"/>
    <w:rsid w:val="007D431F"/>
    <w:rsid w:val="007D48F3"/>
    <w:rsid w:val="007E2A26"/>
    <w:rsid w:val="007E5CBA"/>
    <w:rsid w:val="007F2348"/>
    <w:rsid w:val="00803F07"/>
    <w:rsid w:val="0080749A"/>
    <w:rsid w:val="00821FB8"/>
    <w:rsid w:val="00822ACD"/>
    <w:rsid w:val="00831E8A"/>
    <w:rsid w:val="00844CDE"/>
    <w:rsid w:val="00855C66"/>
    <w:rsid w:val="008678E7"/>
    <w:rsid w:val="00871EE4"/>
    <w:rsid w:val="0089648C"/>
    <w:rsid w:val="008B293F"/>
    <w:rsid w:val="008B6AD7"/>
    <w:rsid w:val="008B7371"/>
    <w:rsid w:val="008C52A8"/>
    <w:rsid w:val="008D3DDB"/>
    <w:rsid w:val="008D4970"/>
    <w:rsid w:val="008D756C"/>
    <w:rsid w:val="008F573F"/>
    <w:rsid w:val="009034EC"/>
    <w:rsid w:val="00917C67"/>
    <w:rsid w:val="0093067A"/>
    <w:rsid w:val="00941C60"/>
    <w:rsid w:val="00941FD1"/>
    <w:rsid w:val="009515C4"/>
    <w:rsid w:val="00961C50"/>
    <w:rsid w:val="00966D42"/>
    <w:rsid w:val="00971689"/>
    <w:rsid w:val="00973E90"/>
    <w:rsid w:val="00975B07"/>
    <w:rsid w:val="00980B4A"/>
    <w:rsid w:val="009833CE"/>
    <w:rsid w:val="009C1C5E"/>
    <w:rsid w:val="009E3D0A"/>
    <w:rsid w:val="009E51FC"/>
    <w:rsid w:val="009E6410"/>
    <w:rsid w:val="009F1D28"/>
    <w:rsid w:val="009F7618"/>
    <w:rsid w:val="00A04D23"/>
    <w:rsid w:val="00A06766"/>
    <w:rsid w:val="00A13765"/>
    <w:rsid w:val="00A14232"/>
    <w:rsid w:val="00A21B12"/>
    <w:rsid w:val="00A23F80"/>
    <w:rsid w:val="00A3240E"/>
    <w:rsid w:val="00A42CA7"/>
    <w:rsid w:val="00A46E98"/>
    <w:rsid w:val="00A52429"/>
    <w:rsid w:val="00A60CD6"/>
    <w:rsid w:val="00A6352B"/>
    <w:rsid w:val="00A701B5"/>
    <w:rsid w:val="00A714BB"/>
    <w:rsid w:val="00A77147"/>
    <w:rsid w:val="00A836DB"/>
    <w:rsid w:val="00A92D8F"/>
    <w:rsid w:val="00AA7269"/>
    <w:rsid w:val="00AB2988"/>
    <w:rsid w:val="00AB7999"/>
    <w:rsid w:val="00AD3292"/>
    <w:rsid w:val="00AE1E29"/>
    <w:rsid w:val="00AE7AF0"/>
    <w:rsid w:val="00B500CA"/>
    <w:rsid w:val="00B660B6"/>
    <w:rsid w:val="00B818E2"/>
    <w:rsid w:val="00B86314"/>
    <w:rsid w:val="00BA1C2E"/>
    <w:rsid w:val="00BC200B"/>
    <w:rsid w:val="00BC4756"/>
    <w:rsid w:val="00BC69A4"/>
    <w:rsid w:val="00BC7F97"/>
    <w:rsid w:val="00BD3D1C"/>
    <w:rsid w:val="00BE0680"/>
    <w:rsid w:val="00BE305F"/>
    <w:rsid w:val="00BE7BA3"/>
    <w:rsid w:val="00BF472A"/>
    <w:rsid w:val="00BF5682"/>
    <w:rsid w:val="00BF68DD"/>
    <w:rsid w:val="00BF7B09"/>
    <w:rsid w:val="00C20A95"/>
    <w:rsid w:val="00C2692F"/>
    <w:rsid w:val="00C3207C"/>
    <w:rsid w:val="00C400E1"/>
    <w:rsid w:val="00C41187"/>
    <w:rsid w:val="00C56346"/>
    <w:rsid w:val="00C63C31"/>
    <w:rsid w:val="00C652EC"/>
    <w:rsid w:val="00C757A0"/>
    <w:rsid w:val="00C760DE"/>
    <w:rsid w:val="00C82630"/>
    <w:rsid w:val="00C85B4E"/>
    <w:rsid w:val="00C8700A"/>
    <w:rsid w:val="00C907F7"/>
    <w:rsid w:val="00C910A9"/>
    <w:rsid w:val="00CA2103"/>
    <w:rsid w:val="00CB6B99"/>
    <w:rsid w:val="00CE4C87"/>
    <w:rsid w:val="00CE544A"/>
    <w:rsid w:val="00D11E1C"/>
    <w:rsid w:val="00D13C87"/>
    <w:rsid w:val="00D160B0"/>
    <w:rsid w:val="00D17F94"/>
    <w:rsid w:val="00D223FC"/>
    <w:rsid w:val="00D26D1E"/>
    <w:rsid w:val="00D33B9A"/>
    <w:rsid w:val="00D375DD"/>
    <w:rsid w:val="00D474CF"/>
    <w:rsid w:val="00D5547E"/>
    <w:rsid w:val="00D860E2"/>
    <w:rsid w:val="00D869A1"/>
    <w:rsid w:val="00DA413F"/>
    <w:rsid w:val="00DA4584"/>
    <w:rsid w:val="00DA614B"/>
    <w:rsid w:val="00DB7AD7"/>
    <w:rsid w:val="00DC01C4"/>
    <w:rsid w:val="00DC3060"/>
    <w:rsid w:val="00DE0FB2"/>
    <w:rsid w:val="00DF093E"/>
    <w:rsid w:val="00E01F42"/>
    <w:rsid w:val="00E206D6"/>
    <w:rsid w:val="00E3366E"/>
    <w:rsid w:val="00E52086"/>
    <w:rsid w:val="00E543A6"/>
    <w:rsid w:val="00E547CF"/>
    <w:rsid w:val="00E60479"/>
    <w:rsid w:val="00E61D73"/>
    <w:rsid w:val="00E645FC"/>
    <w:rsid w:val="00E73684"/>
    <w:rsid w:val="00E818D6"/>
    <w:rsid w:val="00E87F7A"/>
    <w:rsid w:val="00E94B3E"/>
    <w:rsid w:val="00E96BD7"/>
    <w:rsid w:val="00EA0DB1"/>
    <w:rsid w:val="00EA0EE9"/>
    <w:rsid w:val="00EA6ABD"/>
    <w:rsid w:val="00ED52CA"/>
    <w:rsid w:val="00ED5860"/>
    <w:rsid w:val="00EE35C9"/>
    <w:rsid w:val="00EE4036"/>
    <w:rsid w:val="00F05ECA"/>
    <w:rsid w:val="00F3566E"/>
    <w:rsid w:val="00F375FB"/>
    <w:rsid w:val="00F41AC1"/>
    <w:rsid w:val="00F4367A"/>
    <w:rsid w:val="00F445B1"/>
    <w:rsid w:val="00F45CD4"/>
    <w:rsid w:val="00F475A3"/>
    <w:rsid w:val="00F55BE0"/>
    <w:rsid w:val="00F66DCA"/>
    <w:rsid w:val="00F7314E"/>
    <w:rsid w:val="00F74F53"/>
    <w:rsid w:val="00F7606D"/>
    <w:rsid w:val="00F779B7"/>
    <w:rsid w:val="00F81670"/>
    <w:rsid w:val="00F82024"/>
    <w:rsid w:val="00F9024D"/>
    <w:rsid w:val="00F95BC9"/>
    <w:rsid w:val="00FA624C"/>
    <w:rsid w:val="00FB6029"/>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B758083"/>
  <w15:docId w15:val="{54F6271B-1EEE-4884-8FDA-BD3F6D96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db8f1d2-729e-4e17-b922-d1876d49c6d9"/>
    <ds:schemaRef ds:uri="http://www.w3.org/XML/1998/namespace"/>
  </ds:schemaRefs>
</ds:datastoreItem>
</file>

<file path=customXml/itemProps4.xml><?xml version="1.0" encoding="utf-8"?>
<ds:datastoreItem xmlns:ds="http://schemas.openxmlformats.org/officeDocument/2006/customXml" ds:itemID="{B78FEC21-7F52-405C-9373-7A7BAF68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CA3D4D11</Template>
  <TotalTime>6</TotalTime>
  <Pages>9</Pages>
  <Words>2868</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dwyatt</dc:creator>
  <cp:lastModifiedBy>MITCHELL John</cp:lastModifiedBy>
  <cp:revision>5</cp:revision>
  <cp:lastPrinted>2015-07-03T12:50:00Z</cp:lastPrinted>
  <dcterms:created xsi:type="dcterms:W3CDTF">2021-05-17T16:16:00Z</dcterms:created>
  <dcterms:modified xsi:type="dcterms:W3CDTF">2021-06-03T13:50:00Z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